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8DCF7" w14:textId="62A50A00" w:rsidR="008E11DA" w:rsidRPr="00127057" w:rsidRDefault="000208AF" w:rsidP="008E11DA">
      <w:pPr>
        <w:pStyle w:val="Naslov4"/>
        <w:spacing w:after="0"/>
      </w:pPr>
      <w:r>
        <w:t>109 15 ZATVORI I KAZNIONICE</w:t>
      </w:r>
    </w:p>
    <w:p w14:paraId="36E0CAFC" w14:textId="0CCBC972" w:rsidR="00A84032" w:rsidRDefault="00A84032" w:rsidP="001C051D">
      <w:pPr>
        <w:rPr>
          <w:sz w:val="24"/>
          <w:szCs w:val="24"/>
          <w:lang w:val="hr-HR"/>
        </w:rPr>
      </w:pPr>
    </w:p>
    <w:p w14:paraId="00FBD550" w14:textId="11A76153" w:rsidR="00A84032" w:rsidRDefault="00A84032" w:rsidP="001C051D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ZATVOR U POŽEGI</w:t>
      </w:r>
    </w:p>
    <w:p w14:paraId="5D4D58E9" w14:textId="6BF3CFE5" w:rsidR="00A84032" w:rsidRDefault="00A84032" w:rsidP="001C051D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RKP:50400</w:t>
      </w:r>
    </w:p>
    <w:p w14:paraId="037B81DA" w14:textId="34312CD6" w:rsidR="00A84032" w:rsidRDefault="00A84032" w:rsidP="001C051D">
      <w:pPr>
        <w:rPr>
          <w:sz w:val="24"/>
          <w:szCs w:val="24"/>
          <w:lang w:val="hr-HR"/>
        </w:rPr>
      </w:pPr>
    </w:p>
    <w:p w14:paraId="329D0834" w14:textId="270F3F96" w:rsidR="00A84032" w:rsidRDefault="00A84032" w:rsidP="00A84032">
      <w:pPr>
        <w:pStyle w:val="Bodytext20"/>
        <w:shd w:val="clear" w:color="auto" w:fill="auto"/>
        <w:tabs>
          <w:tab w:val="left" w:pos="467"/>
        </w:tabs>
        <w:spacing w:line="240" w:lineRule="auto"/>
        <w:ind w:firstLine="0"/>
        <w:jc w:val="center"/>
        <w:rPr>
          <w:b/>
          <w:color w:val="000000"/>
          <w:sz w:val="24"/>
          <w:szCs w:val="24"/>
          <w:u w:val="single"/>
          <w:lang w:eastAsia="hr-HR" w:bidi="hr-HR"/>
        </w:rPr>
      </w:pPr>
      <w:r>
        <w:rPr>
          <w:b/>
          <w:color w:val="000000"/>
          <w:sz w:val="24"/>
          <w:szCs w:val="24"/>
          <w:u w:val="single"/>
          <w:lang w:eastAsia="hr-HR" w:bidi="hr-HR"/>
        </w:rPr>
        <w:t>OBRAZLOŽENJE POSEBNO</w:t>
      </w:r>
      <w:r w:rsidR="00C402C6">
        <w:rPr>
          <w:b/>
          <w:color w:val="000000"/>
          <w:sz w:val="24"/>
          <w:szCs w:val="24"/>
          <w:u w:val="single"/>
          <w:lang w:eastAsia="hr-HR" w:bidi="hr-HR"/>
        </w:rPr>
        <w:t>G DIJELA FINANCIJSKOG PLANA 202</w:t>
      </w:r>
      <w:r w:rsidR="002A0A8D">
        <w:rPr>
          <w:b/>
          <w:color w:val="000000"/>
          <w:sz w:val="24"/>
          <w:szCs w:val="24"/>
          <w:u w:val="single"/>
          <w:lang w:eastAsia="hr-HR" w:bidi="hr-HR"/>
        </w:rPr>
        <w:t>6.-2028</w:t>
      </w:r>
      <w:bookmarkStart w:id="0" w:name="_GoBack"/>
      <w:bookmarkEnd w:id="0"/>
      <w:r>
        <w:rPr>
          <w:b/>
          <w:color w:val="000000"/>
          <w:sz w:val="24"/>
          <w:szCs w:val="24"/>
          <w:u w:val="single"/>
          <w:lang w:eastAsia="hr-HR" w:bidi="hr-HR"/>
        </w:rPr>
        <w:t>.</w:t>
      </w:r>
    </w:p>
    <w:p w14:paraId="5D91E0C3" w14:textId="40DD6C83" w:rsidR="00A84032" w:rsidRPr="00A84032" w:rsidRDefault="00A84032" w:rsidP="001C051D">
      <w:pPr>
        <w:rPr>
          <w:sz w:val="24"/>
          <w:szCs w:val="24"/>
          <w:lang w:val="hr-HR"/>
        </w:rPr>
      </w:pPr>
    </w:p>
    <w:p w14:paraId="5FCA126D" w14:textId="77777777" w:rsidR="00A84032" w:rsidRPr="000018C0" w:rsidRDefault="00A84032" w:rsidP="00A84032">
      <w:pPr>
        <w:pStyle w:val="Bodytext20"/>
        <w:shd w:val="clear" w:color="auto" w:fill="auto"/>
        <w:tabs>
          <w:tab w:val="left" w:pos="467"/>
        </w:tabs>
        <w:spacing w:line="240" w:lineRule="auto"/>
        <w:ind w:firstLine="0"/>
        <w:jc w:val="both"/>
        <w:rPr>
          <w:color w:val="000000"/>
          <w:sz w:val="22"/>
          <w:szCs w:val="22"/>
          <w:lang w:eastAsia="hr-HR" w:bidi="hr-HR"/>
        </w:rPr>
      </w:pPr>
      <w:r w:rsidRPr="000018C0">
        <w:rPr>
          <w:color w:val="000000"/>
          <w:sz w:val="22"/>
          <w:szCs w:val="22"/>
          <w:lang w:eastAsia="hr-HR" w:bidi="hr-HR"/>
        </w:rPr>
        <w:t xml:space="preserve">Zatvor u Požegi je posebna ustrojstvena jedinica Ministarstva pravosuđa i uprave, Uprave za zatvorski sustav i </w:t>
      </w:r>
      <w:proofErr w:type="spellStart"/>
      <w:r w:rsidRPr="000018C0">
        <w:rPr>
          <w:color w:val="000000"/>
          <w:sz w:val="22"/>
          <w:szCs w:val="22"/>
          <w:lang w:eastAsia="hr-HR" w:bidi="hr-HR"/>
        </w:rPr>
        <w:t>probaciju</w:t>
      </w:r>
      <w:proofErr w:type="spellEnd"/>
      <w:r w:rsidRPr="000018C0">
        <w:rPr>
          <w:color w:val="000000"/>
          <w:sz w:val="22"/>
          <w:szCs w:val="22"/>
          <w:lang w:eastAsia="hr-HR" w:bidi="hr-HR"/>
        </w:rPr>
        <w:t>, kazneno tijelo zatvorenog tipa u kojem se izvršavaju mjere istražnog zatvora i izdržavanja kazne zatvora, odnosno preostali dio kazne do 6 mjeseci izrečenih u kaznenom</w:t>
      </w:r>
      <w:r w:rsidRPr="000018C0">
        <w:rPr>
          <w:sz w:val="22"/>
          <w:szCs w:val="22"/>
        </w:rPr>
        <w:t xml:space="preserve">  </w:t>
      </w:r>
      <w:r w:rsidRPr="000018C0">
        <w:rPr>
          <w:color w:val="000000"/>
          <w:sz w:val="22"/>
          <w:szCs w:val="22"/>
          <w:lang w:eastAsia="hr-HR" w:bidi="hr-HR"/>
        </w:rPr>
        <w:t xml:space="preserve">postupku, kao i kazna zatvora i </w:t>
      </w:r>
      <w:proofErr w:type="spellStart"/>
      <w:r w:rsidRPr="000018C0">
        <w:rPr>
          <w:color w:val="000000"/>
          <w:sz w:val="22"/>
          <w:szCs w:val="22"/>
          <w:lang w:eastAsia="hr-HR" w:bidi="hr-HR"/>
        </w:rPr>
        <w:t>supletorna</w:t>
      </w:r>
      <w:proofErr w:type="spellEnd"/>
      <w:r w:rsidRPr="000018C0">
        <w:rPr>
          <w:color w:val="000000"/>
          <w:sz w:val="22"/>
          <w:szCs w:val="22"/>
          <w:lang w:eastAsia="hr-HR" w:bidi="hr-HR"/>
        </w:rPr>
        <w:t xml:space="preserve"> kazna izrečena u prekršajnom postupku.</w:t>
      </w:r>
    </w:p>
    <w:p w14:paraId="6631C32D" w14:textId="77777777" w:rsidR="00A84032" w:rsidRPr="000018C0" w:rsidRDefault="00A84032" w:rsidP="00A84032">
      <w:pPr>
        <w:pStyle w:val="Bodytext20"/>
        <w:shd w:val="clear" w:color="auto" w:fill="auto"/>
        <w:tabs>
          <w:tab w:val="left" w:pos="467"/>
        </w:tabs>
        <w:spacing w:line="240" w:lineRule="auto"/>
        <w:ind w:firstLine="0"/>
        <w:jc w:val="both"/>
        <w:rPr>
          <w:color w:val="000000"/>
          <w:sz w:val="22"/>
          <w:szCs w:val="22"/>
          <w:lang w:eastAsia="hr-HR" w:bidi="hr-HR"/>
        </w:rPr>
      </w:pPr>
    </w:p>
    <w:p w14:paraId="1E197E8D" w14:textId="77777777" w:rsidR="00A84032" w:rsidRPr="000018C0" w:rsidRDefault="00A84032" w:rsidP="00A84032">
      <w:pPr>
        <w:pStyle w:val="Bodytext20"/>
        <w:shd w:val="clear" w:color="auto" w:fill="auto"/>
        <w:tabs>
          <w:tab w:val="left" w:pos="467"/>
        </w:tabs>
        <w:spacing w:line="240" w:lineRule="auto"/>
        <w:ind w:firstLine="0"/>
        <w:jc w:val="both"/>
        <w:rPr>
          <w:i/>
          <w:iCs/>
          <w:color w:val="767171" w:themeColor="background2" w:themeShade="80"/>
          <w:sz w:val="22"/>
          <w:szCs w:val="22"/>
        </w:rPr>
      </w:pPr>
      <w:r w:rsidRPr="000018C0">
        <w:rPr>
          <w:iCs/>
          <w:sz w:val="22"/>
          <w:szCs w:val="22"/>
        </w:rPr>
        <w:t>Temeljne zadaće zatvorskog sustava su zaštita društva od počinitelja kaznenih djela i postizanje svrhe izvršavanja kazne zatvora: organizacija života zatvorenika i motivacija zatvorenika da se osposobi za samostalni život na slobodi u skladu s društvenim normama, istovremeno umanjujući štetne posljedice koje uvjetuje život u zatvoru</w:t>
      </w:r>
      <w:r w:rsidRPr="000018C0">
        <w:rPr>
          <w:i/>
          <w:iCs/>
          <w:color w:val="767171" w:themeColor="background2" w:themeShade="80"/>
          <w:sz w:val="22"/>
          <w:szCs w:val="22"/>
        </w:rPr>
        <w:t xml:space="preserve">. </w:t>
      </w:r>
    </w:p>
    <w:p w14:paraId="53189B99" w14:textId="77777777" w:rsidR="00A84032" w:rsidRPr="000018C0" w:rsidRDefault="00A84032" w:rsidP="00A84032">
      <w:pPr>
        <w:pStyle w:val="Bodytext20"/>
        <w:shd w:val="clear" w:color="auto" w:fill="auto"/>
        <w:tabs>
          <w:tab w:val="left" w:pos="467"/>
        </w:tabs>
        <w:spacing w:line="240" w:lineRule="auto"/>
        <w:ind w:firstLine="0"/>
        <w:jc w:val="both"/>
        <w:rPr>
          <w:i/>
          <w:iCs/>
          <w:color w:val="767171" w:themeColor="background2" w:themeShade="80"/>
          <w:sz w:val="22"/>
          <w:szCs w:val="22"/>
        </w:rPr>
      </w:pPr>
    </w:p>
    <w:p w14:paraId="72161525" w14:textId="77777777" w:rsidR="00A84032" w:rsidRPr="000018C0" w:rsidRDefault="00A84032" w:rsidP="00A84032">
      <w:pPr>
        <w:pStyle w:val="Naslov8"/>
        <w:spacing w:after="0"/>
        <w:jc w:val="left"/>
        <w:rPr>
          <w:szCs w:val="22"/>
        </w:rPr>
      </w:pPr>
      <w:r w:rsidRPr="000018C0">
        <w:rPr>
          <w:szCs w:val="22"/>
        </w:rPr>
        <w:t>Zakonske i druge pravne osnove</w:t>
      </w:r>
    </w:p>
    <w:p w14:paraId="5436211B" w14:textId="77777777" w:rsidR="00A84032" w:rsidRPr="000018C0" w:rsidRDefault="00A84032" w:rsidP="00A84032">
      <w:pPr>
        <w:rPr>
          <w:szCs w:val="22"/>
        </w:rPr>
      </w:pPr>
    </w:p>
    <w:p w14:paraId="3BA0DB9B" w14:textId="25269000" w:rsidR="00A84032" w:rsidRPr="000018C0" w:rsidRDefault="00A84032" w:rsidP="00A84032">
      <w:pPr>
        <w:spacing w:after="0"/>
        <w:rPr>
          <w:szCs w:val="22"/>
        </w:rPr>
      </w:pPr>
      <w:r w:rsidRPr="000018C0">
        <w:rPr>
          <w:szCs w:val="22"/>
        </w:rPr>
        <w:t>Rad Zatvora u Požegi financira se iz sredstava Državnog proračuna, a kada je to moguće i iz  ostvarenih vlastitih prihoda,  te prihoda posebne namjene. Sukladno zakonskim odredbama zatvorenike se potiče na rad i omogućuje im se rad temeljem Zakona o izvršavanju kazne zatvora (NN 14/</w:t>
      </w:r>
      <w:r w:rsidR="0074391B">
        <w:rPr>
          <w:szCs w:val="22"/>
        </w:rPr>
        <w:t>20</w:t>
      </w:r>
      <w:r w:rsidRPr="000018C0">
        <w:rPr>
          <w:szCs w:val="22"/>
        </w:rPr>
        <w:t>21</w:t>
      </w:r>
      <w:r w:rsidR="0074391B">
        <w:rPr>
          <w:szCs w:val="22"/>
        </w:rPr>
        <w:t>, 155/2023</w:t>
      </w:r>
      <w:r w:rsidRPr="000018C0">
        <w:rPr>
          <w:szCs w:val="22"/>
        </w:rPr>
        <w:t>) i Pravilnika o radu i raspolaganju novcem zatvorenika (NN 67/2022). Ostvarivanje i trošenje vlastitih prihoda vrši se u skladu sa Pravilnikom o mjerilima i načinu korištenja nenamjenskih donacija i vlastitih prihoda proračunskih korisnika iz nadležnosti Ministarstva pravosuđa i uprave kaznenih tijela (NN 67/2023).</w:t>
      </w:r>
    </w:p>
    <w:p w14:paraId="2F27CF29" w14:textId="77777777" w:rsidR="008E11DA" w:rsidRPr="00C41928" w:rsidRDefault="008E11DA" w:rsidP="008E11DA">
      <w:pPr>
        <w:spacing w:after="0"/>
        <w:rPr>
          <w:szCs w:val="22"/>
        </w:rPr>
      </w:pPr>
    </w:p>
    <w:tbl>
      <w:tblPr>
        <w:tblStyle w:val="StilTablice"/>
        <w:tblW w:w="9962" w:type="dxa"/>
        <w:jc w:val="center"/>
        <w:tblLook w:val="04A0" w:firstRow="1" w:lastRow="0" w:firstColumn="1" w:lastColumn="0" w:noHBand="0" w:noVBand="1"/>
      </w:tblPr>
      <w:tblGrid>
        <w:gridCol w:w="1419"/>
        <w:gridCol w:w="1503"/>
        <w:gridCol w:w="1472"/>
        <w:gridCol w:w="1504"/>
        <w:gridCol w:w="1504"/>
        <w:gridCol w:w="1504"/>
        <w:gridCol w:w="1056"/>
      </w:tblGrid>
      <w:tr w:rsidR="00093516" w:rsidRPr="00C41928" w14:paraId="7DD0AD33" w14:textId="77777777" w:rsidTr="00C41928">
        <w:trPr>
          <w:trHeight w:val="541"/>
          <w:jc w:val="center"/>
        </w:trPr>
        <w:tc>
          <w:tcPr>
            <w:tcW w:w="1425" w:type="dxa"/>
            <w:shd w:val="clear" w:color="auto" w:fill="B5C0D8"/>
          </w:tcPr>
          <w:p w14:paraId="2543132A" w14:textId="77777777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bookmarkStart w:id="1" w:name="_Hlk177735419"/>
            <w:bookmarkStart w:id="2" w:name="_Hlk135807407"/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07" w:type="dxa"/>
            <w:shd w:val="clear" w:color="auto" w:fill="B5C0D8"/>
            <w:vAlign w:val="top"/>
          </w:tcPr>
          <w:p w14:paraId="1942FFBD" w14:textId="211A33A6" w:rsidR="008E11DA" w:rsidRPr="00C41928" w:rsidRDefault="008E11DA" w:rsidP="00C402C6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C402C6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475" w:type="dxa"/>
            <w:shd w:val="clear" w:color="auto" w:fill="B5C0D8"/>
            <w:vAlign w:val="top"/>
          </w:tcPr>
          <w:p w14:paraId="3A59A218" w14:textId="6F6BCA59" w:rsidR="008E11DA" w:rsidRPr="00C41928" w:rsidRDefault="008E11DA" w:rsidP="00C402C6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C402C6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1BAC418C" w14:textId="228D8DB1" w:rsidR="008E11DA" w:rsidRPr="00C41928" w:rsidRDefault="008E11DA" w:rsidP="00C402C6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C402C6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3A5B4EA2" w14:textId="2521F428" w:rsidR="008E11DA" w:rsidRPr="00C41928" w:rsidRDefault="008E11DA" w:rsidP="00C402C6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C402C6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5BE46E39" w14:textId="01A4FC21" w:rsidR="008E11DA" w:rsidRPr="00C41928" w:rsidRDefault="008E11DA" w:rsidP="00C402C6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C402C6"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31" w:type="dxa"/>
            <w:shd w:val="clear" w:color="auto" w:fill="B5C0D8"/>
            <w:vAlign w:val="top"/>
          </w:tcPr>
          <w:p w14:paraId="65656496" w14:textId="66B9D47F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DC3876">
              <w:rPr>
                <w:rFonts w:cs="Times New Roman"/>
                <w:sz w:val="22"/>
              </w:rPr>
              <w:t>6</w:t>
            </w:r>
            <w:r w:rsidRPr="00C41928">
              <w:rPr>
                <w:rFonts w:cs="Times New Roman"/>
                <w:sz w:val="22"/>
              </w:rPr>
              <w:t>/202</w:t>
            </w:r>
            <w:r w:rsidR="00DC3876">
              <w:rPr>
                <w:rFonts w:cs="Times New Roman"/>
                <w:sz w:val="22"/>
              </w:rPr>
              <w:t>5</w:t>
            </w:r>
          </w:p>
        </w:tc>
      </w:tr>
      <w:bookmarkEnd w:id="1"/>
      <w:tr w:rsidR="00DC3876" w:rsidRPr="00C41928" w14:paraId="24C90181" w14:textId="77777777" w:rsidTr="00C41928">
        <w:trPr>
          <w:trHeight w:val="343"/>
          <w:jc w:val="center"/>
        </w:trPr>
        <w:tc>
          <w:tcPr>
            <w:tcW w:w="1425" w:type="dxa"/>
            <w:vAlign w:val="top"/>
          </w:tcPr>
          <w:p w14:paraId="49916E25" w14:textId="696C0743" w:rsidR="008E11DA" w:rsidRPr="00C41928" w:rsidRDefault="00D27D48" w:rsidP="00127057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A630000</w:t>
            </w:r>
          </w:p>
        </w:tc>
        <w:tc>
          <w:tcPr>
            <w:tcW w:w="1507" w:type="dxa"/>
            <w:vAlign w:val="top"/>
          </w:tcPr>
          <w:p w14:paraId="6B3B5B94" w14:textId="7AF0765E" w:rsidR="008E11DA" w:rsidRPr="00C402C6" w:rsidRDefault="00C402C6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C402C6">
              <w:rPr>
                <w:sz w:val="22"/>
                <w:szCs w:val="22"/>
              </w:rPr>
              <w:t>2.805.616,06</w:t>
            </w:r>
          </w:p>
        </w:tc>
        <w:tc>
          <w:tcPr>
            <w:tcW w:w="1475" w:type="dxa"/>
            <w:vAlign w:val="top"/>
          </w:tcPr>
          <w:p w14:paraId="5F352A4F" w14:textId="515BECA0" w:rsidR="008E11DA" w:rsidRPr="00C41928" w:rsidRDefault="00DC3876" w:rsidP="0009351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3760C">
              <w:rPr>
                <w:sz w:val="22"/>
                <w:szCs w:val="22"/>
              </w:rPr>
              <w:t>.</w:t>
            </w:r>
            <w:r w:rsidR="00093516">
              <w:rPr>
                <w:sz w:val="22"/>
                <w:szCs w:val="22"/>
              </w:rPr>
              <w:t>180.6</w:t>
            </w:r>
            <w:r>
              <w:rPr>
                <w:sz w:val="22"/>
                <w:szCs w:val="22"/>
              </w:rPr>
              <w:t>50</w:t>
            </w:r>
            <w:r w:rsidR="008150CE">
              <w:rPr>
                <w:sz w:val="22"/>
                <w:szCs w:val="22"/>
              </w:rPr>
              <w:t>,00</w:t>
            </w:r>
          </w:p>
        </w:tc>
        <w:tc>
          <w:tcPr>
            <w:tcW w:w="1508" w:type="dxa"/>
            <w:vAlign w:val="top"/>
          </w:tcPr>
          <w:p w14:paraId="15A5081F" w14:textId="41753DA9" w:rsidR="008E11DA" w:rsidRPr="00C41928" w:rsidRDefault="00DC3876" w:rsidP="00A15E0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A15E01">
              <w:rPr>
                <w:sz w:val="22"/>
                <w:szCs w:val="22"/>
              </w:rPr>
              <w:t>281</w:t>
            </w:r>
            <w:r>
              <w:rPr>
                <w:sz w:val="22"/>
                <w:szCs w:val="22"/>
              </w:rPr>
              <w:t>.</w:t>
            </w:r>
            <w:r w:rsidR="00A15E01">
              <w:rPr>
                <w:sz w:val="22"/>
                <w:szCs w:val="22"/>
              </w:rPr>
              <w:t>300</w:t>
            </w:r>
            <w:r w:rsidR="00C36E9C">
              <w:rPr>
                <w:sz w:val="22"/>
                <w:szCs w:val="22"/>
              </w:rPr>
              <w:t>,00</w:t>
            </w:r>
          </w:p>
        </w:tc>
        <w:tc>
          <w:tcPr>
            <w:tcW w:w="1508" w:type="dxa"/>
            <w:vAlign w:val="top"/>
          </w:tcPr>
          <w:p w14:paraId="7735448E" w14:textId="2A368AA1" w:rsidR="008E11DA" w:rsidRPr="00C41928" w:rsidRDefault="00DC3876" w:rsidP="00A15E0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A15E01">
              <w:rPr>
                <w:sz w:val="22"/>
                <w:szCs w:val="22"/>
              </w:rPr>
              <w:t>392.000</w:t>
            </w:r>
            <w:r w:rsidR="003A1309">
              <w:rPr>
                <w:sz w:val="22"/>
                <w:szCs w:val="22"/>
              </w:rPr>
              <w:t>,00</w:t>
            </w:r>
          </w:p>
        </w:tc>
        <w:tc>
          <w:tcPr>
            <w:tcW w:w="1508" w:type="dxa"/>
            <w:vAlign w:val="top"/>
          </w:tcPr>
          <w:p w14:paraId="5193FDBC" w14:textId="0AFDC749" w:rsidR="008E11DA" w:rsidRPr="00C41928" w:rsidRDefault="00DC3876" w:rsidP="00A15E0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A15E01">
              <w:rPr>
                <w:sz w:val="22"/>
                <w:szCs w:val="22"/>
              </w:rPr>
              <w:t>317.5</w:t>
            </w:r>
            <w:r>
              <w:rPr>
                <w:sz w:val="22"/>
                <w:szCs w:val="22"/>
              </w:rPr>
              <w:t>00</w:t>
            </w:r>
            <w:r w:rsidR="00562DEA">
              <w:rPr>
                <w:sz w:val="22"/>
                <w:szCs w:val="22"/>
              </w:rPr>
              <w:t>,00</w:t>
            </w:r>
          </w:p>
        </w:tc>
        <w:tc>
          <w:tcPr>
            <w:tcW w:w="1031" w:type="dxa"/>
            <w:vAlign w:val="top"/>
          </w:tcPr>
          <w:p w14:paraId="357A02C5" w14:textId="0053BAC3" w:rsidR="008E11DA" w:rsidRPr="00C41928" w:rsidRDefault="00DC3876" w:rsidP="00935E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15E01">
              <w:rPr>
                <w:sz w:val="22"/>
                <w:szCs w:val="22"/>
              </w:rPr>
              <w:t>66,04</w:t>
            </w:r>
          </w:p>
        </w:tc>
      </w:tr>
      <w:bookmarkEnd w:id="2"/>
    </w:tbl>
    <w:p w14:paraId="4E4B85B5" w14:textId="77777777" w:rsidR="008E11DA" w:rsidRPr="00C41928" w:rsidRDefault="008E11DA" w:rsidP="008E11DA">
      <w:pPr>
        <w:spacing w:after="0"/>
        <w:jc w:val="left"/>
        <w:rPr>
          <w:szCs w:val="22"/>
        </w:rPr>
      </w:pPr>
    </w:p>
    <w:p w14:paraId="6209D5DD" w14:textId="77777777" w:rsidR="002E1637" w:rsidRDefault="002E1637" w:rsidP="002E1637">
      <w:pPr>
        <w:spacing w:after="0"/>
        <w:rPr>
          <w:szCs w:val="22"/>
          <w:lang w:val="hr-HR"/>
        </w:rPr>
      </w:pPr>
      <w:r w:rsidRPr="00C41928">
        <w:rPr>
          <w:szCs w:val="22"/>
          <w:lang w:val="hr-HR"/>
        </w:rPr>
        <w:t>U okviru ove aktivnosti osigurana su sredstva za fin</w:t>
      </w:r>
      <w:r>
        <w:rPr>
          <w:szCs w:val="22"/>
          <w:lang w:val="hr-HR"/>
        </w:rPr>
        <w:t>anciranje rashoda za zaposlene,</w:t>
      </w:r>
      <w:r w:rsidRPr="00C41928">
        <w:rPr>
          <w:szCs w:val="22"/>
          <w:lang w:val="hr-HR"/>
        </w:rPr>
        <w:t xml:space="preserve"> materijalnih rashoda</w:t>
      </w:r>
      <w:r>
        <w:rPr>
          <w:szCs w:val="22"/>
          <w:lang w:val="hr-HR"/>
        </w:rPr>
        <w:t>, financijskih rashoda, rashoda za nabavu proizvedene dugotrajne imovine te rashoda za dodatna ulaganja na nefinancijskoj imovini,</w:t>
      </w:r>
      <w:r w:rsidRPr="00C41928">
        <w:rPr>
          <w:szCs w:val="22"/>
          <w:lang w:val="hr-HR"/>
        </w:rPr>
        <w:t xml:space="preserve"> potrebnih za redovan rad i funkcioniranje zatvorskog sustava.</w:t>
      </w:r>
    </w:p>
    <w:p w14:paraId="3D000502" w14:textId="41D69479" w:rsidR="00907DE9" w:rsidRDefault="00907DE9" w:rsidP="00D27D48">
      <w:pPr>
        <w:spacing w:after="0"/>
        <w:rPr>
          <w:szCs w:val="22"/>
          <w:lang w:val="hr-HR"/>
        </w:rPr>
      </w:pPr>
    </w:p>
    <w:p w14:paraId="600ACAF5" w14:textId="19191384" w:rsidR="00F30065" w:rsidRDefault="00F30065" w:rsidP="00D27D48">
      <w:pPr>
        <w:spacing w:after="0"/>
        <w:rPr>
          <w:szCs w:val="22"/>
          <w:lang w:val="hr-HR"/>
        </w:rPr>
      </w:pPr>
    </w:p>
    <w:p w14:paraId="2CC908CC" w14:textId="15213960" w:rsidR="00F30065" w:rsidRPr="007F5AE5" w:rsidRDefault="00F30065" w:rsidP="00F30065">
      <w:pPr>
        <w:spacing w:after="0"/>
        <w:rPr>
          <w:b/>
          <w:szCs w:val="22"/>
          <w:u w:val="single"/>
          <w:lang w:val="hr-HR"/>
        </w:rPr>
      </w:pPr>
      <w:r w:rsidRPr="007F5AE5">
        <w:rPr>
          <w:b/>
          <w:szCs w:val="22"/>
          <w:u w:val="single"/>
          <w:lang w:val="hr-HR"/>
        </w:rPr>
        <w:t>Izvor 11 –</w:t>
      </w:r>
      <w:r w:rsidR="004A33A8">
        <w:rPr>
          <w:b/>
          <w:szCs w:val="22"/>
          <w:u w:val="single"/>
          <w:lang w:val="hr-HR"/>
        </w:rPr>
        <w:t xml:space="preserve"> 2026.</w:t>
      </w:r>
      <w:r w:rsidRPr="007F5AE5">
        <w:rPr>
          <w:b/>
          <w:szCs w:val="22"/>
          <w:u w:val="single"/>
          <w:lang w:val="hr-HR"/>
        </w:rPr>
        <w:t xml:space="preserve"> godina</w:t>
      </w:r>
    </w:p>
    <w:p w14:paraId="3763524D" w14:textId="77777777" w:rsidR="00F30065" w:rsidRPr="00C41928" w:rsidRDefault="00F30065" w:rsidP="00F30065">
      <w:pPr>
        <w:spacing w:after="0"/>
        <w:rPr>
          <w:szCs w:val="22"/>
          <w:lang w:val="hr-HR"/>
        </w:rPr>
      </w:pPr>
    </w:p>
    <w:p w14:paraId="785925CB" w14:textId="6532F8DF" w:rsidR="00F30065" w:rsidRPr="00780A30" w:rsidRDefault="00F30065" w:rsidP="00F30065">
      <w:pPr>
        <w:spacing w:after="0"/>
        <w:rPr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 </w:t>
      </w:r>
      <w:r>
        <w:rPr>
          <w:szCs w:val="22"/>
          <w:lang w:val="hr-HR"/>
        </w:rPr>
        <w:t>Planirana su sredstva u iznosu 2.</w:t>
      </w:r>
      <w:r w:rsidR="00CF48A2">
        <w:rPr>
          <w:szCs w:val="22"/>
          <w:lang w:val="hr-HR"/>
        </w:rPr>
        <w:t>751.000</w:t>
      </w:r>
      <w:r>
        <w:rPr>
          <w:szCs w:val="22"/>
          <w:lang w:val="hr-HR"/>
        </w:rPr>
        <w:t>,00 €. Sredstva su planirana na temelju broja zaposlenih i isplaćenih plaća za prethodne periode</w:t>
      </w:r>
      <w:r w:rsidR="00E92DE8">
        <w:rPr>
          <w:szCs w:val="22"/>
          <w:lang w:val="hr-HR"/>
        </w:rPr>
        <w:t xml:space="preserve"> uključujući o obzir stupanje na snagu nove Uredbe o nazivima radnih mjesta, uvjetima za raspored i koeficijentima za obračun plaće u državnoj službi (NN22/2024). U 20</w:t>
      </w:r>
      <w:r w:rsidR="00CF48A2">
        <w:rPr>
          <w:szCs w:val="22"/>
          <w:lang w:val="hr-HR"/>
        </w:rPr>
        <w:t>26</w:t>
      </w:r>
      <w:r>
        <w:rPr>
          <w:szCs w:val="22"/>
          <w:lang w:val="hr-HR"/>
        </w:rPr>
        <w:t xml:space="preserve">. godini uz postojećih </w:t>
      </w:r>
      <w:r w:rsidR="0005580C">
        <w:rPr>
          <w:szCs w:val="22"/>
          <w:lang w:val="hr-HR"/>
        </w:rPr>
        <w:t>73</w:t>
      </w:r>
      <w:r>
        <w:rPr>
          <w:szCs w:val="22"/>
          <w:lang w:val="hr-HR"/>
        </w:rPr>
        <w:t xml:space="preserve"> zaposlenika planira se zapošljavanje još </w:t>
      </w:r>
      <w:r w:rsidR="0005580C">
        <w:rPr>
          <w:szCs w:val="22"/>
          <w:lang w:val="hr-HR"/>
        </w:rPr>
        <w:t>4</w:t>
      </w:r>
      <w:r>
        <w:rPr>
          <w:szCs w:val="22"/>
          <w:lang w:val="hr-HR"/>
        </w:rPr>
        <w:t xml:space="preserve"> službenika </w:t>
      </w:r>
      <w:r w:rsidR="00E92DE8">
        <w:rPr>
          <w:szCs w:val="22"/>
          <w:lang w:val="hr-HR"/>
        </w:rPr>
        <w:t xml:space="preserve">– vježbenici p.p. </w:t>
      </w:r>
      <w:r>
        <w:rPr>
          <w:szCs w:val="22"/>
          <w:lang w:val="hr-HR"/>
        </w:rPr>
        <w:t>čije su plaće također uzete u obzir.</w:t>
      </w:r>
      <w:r w:rsidR="00E92DE8">
        <w:rPr>
          <w:szCs w:val="22"/>
          <w:lang w:val="hr-HR"/>
        </w:rPr>
        <w:t xml:space="preserve"> Također  u skladu s novim Pravilnikom o unutarnjem redu MPUDT od 17.09.2024. planirali smo</w:t>
      </w:r>
      <w:r w:rsidR="0005580C">
        <w:rPr>
          <w:szCs w:val="22"/>
          <w:lang w:val="hr-HR"/>
        </w:rPr>
        <w:t xml:space="preserve"> u 2026</w:t>
      </w:r>
      <w:r w:rsidR="004031F6">
        <w:rPr>
          <w:szCs w:val="22"/>
          <w:lang w:val="hr-HR"/>
        </w:rPr>
        <w:t xml:space="preserve">. godini </w:t>
      </w:r>
      <w:r w:rsidR="00E92DE8">
        <w:rPr>
          <w:szCs w:val="22"/>
          <w:lang w:val="hr-HR"/>
        </w:rPr>
        <w:t xml:space="preserve"> zaposliti jo</w:t>
      </w:r>
      <w:r w:rsidR="0005580C">
        <w:rPr>
          <w:szCs w:val="22"/>
          <w:lang w:val="hr-HR"/>
        </w:rPr>
        <w:t>š 2</w:t>
      </w:r>
      <w:r w:rsidR="00E92DE8">
        <w:rPr>
          <w:szCs w:val="22"/>
          <w:lang w:val="hr-HR"/>
        </w:rPr>
        <w:t xml:space="preserve"> nova službenika od kojih se jedno </w:t>
      </w:r>
      <w:r w:rsidR="00A27A75">
        <w:rPr>
          <w:szCs w:val="22"/>
          <w:lang w:val="hr-HR"/>
        </w:rPr>
        <w:t>radno mjesto odnosi na jednog službenika</w:t>
      </w:r>
      <w:r w:rsidR="00E92DE8">
        <w:rPr>
          <w:szCs w:val="22"/>
          <w:lang w:val="hr-HR"/>
        </w:rPr>
        <w:t xml:space="preserve"> u Odjelu </w:t>
      </w:r>
      <w:r w:rsidR="0005580C">
        <w:rPr>
          <w:szCs w:val="22"/>
          <w:lang w:val="hr-HR"/>
        </w:rPr>
        <w:t>Upravitelja</w:t>
      </w:r>
      <w:r w:rsidR="00E92DE8">
        <w:rPr>
          <w:szCs w:val="22"/>
          <w:lang w:val="hr-HR"/>
        </w:rPr>
        <w:t xml:space="preserve"> i </w:t>
      </w:r>
      <w:r w:rsidR="0005580C">
        <w:rPr>
          <w:szCs w:val="22"/>
          <w:lang w:val="hr-HR"/>
        </w:rPr>
        <w:t>jedan službenik</w:t>
      </w:r>
      <w:r w:rsidR="00E92DE8">
        <w:rPr>
          <w:szCs w:val="22"/>
          <w:lang w:val="hr-HR"/>
        </w:rPr>
        <w:t xml:space="preserve"> u Odjelu financijsko –računovodst</w:t>
      </w:r>
      <w:r w:rsidR="0005580C">
        <w:rPr>
          <w:szCs w:val="22"/>
          <w:lang w:val="hr-HR"/>
        </w:rPr>
        <w:t>venih poslova.   Božićnica je planirana za 79</w:t>
      </w:r>
      <w:r>
        <w:rPr>
          <w:szCs w:val="22"/>
          <w:lang w:val="hr-HR"/>
        </w:rPr>
        <w:t xml:space="preserve"> zaposlenika u iznosu od 300 </w:t>
      </w:r>
      <w:proofErr w:type="spellStart"/>
      <w:r>
        <w:rPr>
          <w:szCs w:val="22"/>
          <w:lang w:val="hr-HR"/>
        </w:rPr>
        <w:t>eur</w:t>
      </w:r>
      <w:proofErr w:type="spellEnd"/>
      <w:r>
        <w:rPr>
          <w:szCs w:val="22"/>
          <w:lang w:val="hr-HR"/>
        </w:rPr>
        <w:t xml:space="preserve"> po službeniku, </w:t>
      </w:r>
      <w:r w:rsidR="0005580C">
        <w:rPr>
          <w:szCs w:val="22"/>
          <w:lang w:val="hr-HR"/>
        </w:rPr>
        <w:t>regres je također planiran za 79</w:t>
      </w:r>
      <w:r>
        <w:rPr>
          <w:szCs w:val="22"/>
          <w:lang w:val="hr-HR"/>
        </w:rPr>
        <w:t xml:space="preserve"> zaposlenika sa 300 </w:t>
      </w:r>
      <w:proofErr w:type="spellStart"/>
      <w:r>
        <w:rPr>
          <w:szCs w:val="22"/>
          <w:lang w:val="hr-HR"/>
        </w:rPr>
        <w:t>eur</w:t>
      </w:r>
      <w:proofErr w:type="spellEnd"/>
      <w:r>
        <w:rPr>
          <w:szCs w:val="22"/>
          <w:lang w:val="hr-HR"/>
        </w:rPr>
        <w:t xml:space="preserve"> po službeniku, a dar za djecu u iznosu 100 </w:t>
      </w:r>
      <w:proofErr w:type="spellStart"/>
      <w:r>
        <w:rPr>
          <w:szCs w:val="22"/>
          <w:lang w:val="hr-HR"/>
        </w:rPr>
        <w:t>eur</w:t>
      </w:r>
      <w:proofErr w:type="spellEnd"/>
      <w:r>
        <w:rPr>
          <w:szCs w:val="22"/>
          <w:lang w:val="hr-HR"/>
        </w:rPr>
        <w:t xml:space="preserve"> po djetetu za 50 djece do 15 godina starosti. Uzete su obzir i</w:t>
      </w:r>
      <w:r w:rsidR="00CF2864">
        <w:rPr>
          <w:szCs w:val="22"/>
          <w:lang w:val="hr-HR"/>
        </w:rPr>
        <w:t xml:space="preserve"> jubilarne nagrade </w:t>
      </w:r>
      <w:r w:rsidR="00CF2864">
        <w:rPr>
          <w:szCs w:val="22"/>
          <w:lang w:val="hr-HR"/>
        </w:rPr>
        <w:lastRenderedPageBreak/>
        <w:t>za 15</w:t>
      </w:r>
      <w:r>
        <w:rPr>
          <w:szCs w:val="22"/>
          <w:lang w:val="hr-HR"/>
        </w:rPr>
        <w:t xml:space="preserve"> službenika u ukupnom iznosu od </w:t>
      </w:r>
      <w:r w:rsidR="00CF2864">
        <w:rPr>
          <w:szCs w:val="22"/>
          <w:lang w:val="hr-HR"/>
        </w:rPr>
        <w:t>10.000</w:t>
      </w:r>
      <w:r>
        <w:rPr>
          <w:szCs w:val="22"/>
          <w:lang w:val="hr-HR"/>
        </w:rPr>
        <w:t>,00 €, te b</w:t>
      </w:r>
      <w:r w:rsidR="008E03AF">
        <w:rPr>
          <w:szCs w:val="22"/>
          <w:lang w:val="hr-HR"/>
        </w:rPr>
        <w:t>udu</w:t>
      </w:r>
      <w:r w:rsidR="00CF2864">
        <w:rPr>
          <w:szCs w:val="22"/>
          <w:lang w:val="hr-HR"/>
        </w:rPr>
        <w:t xml:space="preserve">ći se planiraju odlasci </w:t>
      </w:r>
      <w:r w:rsidR="005F7128">
        <w:rPr>
          <w:szCs w:val="22"/>
          <w:lang w:val="hr-HR"/>
        </w:rPr>
        <w:t>pet</w:t>
      </w:r>
      <w:r w:rsidR="00CF2864">
        <w:rPr>
          <w:szCs w:val="22"/>
          <w:lang w:val="hr-HR"/>
        </w:rPr>
        <w:t xml:space="preserve"> </w:t>
      </w:r>
      <w:r>
        <w:rPr>
          <w:szCs w:val="22"/>
          <w:lang w:val="hr-HR"/>
        </w:rPr>
        <w:t xml:space="preserve"> </w:t>
      </w:r>
      <w:r w:rsidR="00CF2864">
        <w:rPr>
          <w:szCs w:val="22"/>
          <w:lang w:val="hr-HR"/>
        </w:rPr>
        <w:t>službenika u mirovinu, planirano je četiri</w:t>
      </w:r>
      <w:r>
        <w:rPr>
          <w:szCs w:val="22"/>
          <w:lang w:val="hr-HR"/>
        </w:rPr>
        <w:t xml:space="preserve"> otpr</w:t>
      </w:r>
      <w:r w:rsidR="00CF2864">
        <w:rPr>
          <w:szCs w:val="22"/>
          <w:lang w:val="hr-HR"/>
        </w:rPr>
        <w:t>emnin</w:t>
      </w:r>
      <w:r w:rsidR="00CC1EEA">
        <w:rPr>
          <w:szCs w:val="22"/>
          <w:lang w:val="hr-HR"/>
        </w:rPr>
        <w:t>e u ukupnom bruto iznosu 60</w:t>
      </w:r>
      <w:r w:rsidR="00CF2864">
        <w:rPr>
          <w:szCs w:val="22"/>
          <w:lang w:val="hr-HR"/>
        </w:rPr>
        <w:t>.000</w:t>
      </w:r>
      <w:r>
        <w:rPr>
          <w:szCs w:val="22"/>
          <w:lang w:val="hr-HR"/>
        </w:rPr>
        <w:t>,00 €.</w:t>
      </w:r>
    </w:p>
    <w:p w14:paraId="720E61C0" w14:textId="77777777" w:rsidR="00F30065" w:rsidRDefault="00F30065" w:rsidP="00D27D48">
      <w:pPr>
        <w:spacing w:after="0"/>
        <w:rPr>
          <w:szCs w:val="22"/>
          <w:lang w:val="hr-HR"/>
        </w:rPr>
      </w:pPr>
    </w:p>
    <w:p w14:paraId="151614C8" w14:textId="0150314E" w:rsidR="006B3744" w:rsidRPr="001C051D" w:rsidRDefault="006B3744" w:rsidP="006B3744">
      <w:pPr>
        <w:spacing w:after="0"/>
        <w:rPr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Pr="00C41928">
        <w:rPr>
          <w:szCs w:val="22"/>
          <w:lang w:val="hr-HR"/>
        </w:rPr>
        <w:t xml:space="preserve">  -</w:t>
      </w:r>
      <w:r>
        <w:rPr>
          <w:szCs w:val="22"/>
          <w:lang w:val="hr-HR"/>
        </w:rPr>
        <w:t>Materijalni rashodi planiraju se u iznosu 3</w:t>
      </w:r>
      <w:r w:rsidR="00052C28">
        <w:rPr>
          <w:szCs w:val="22"/>
          <w:lang w:val="hr-HR"/>
        </w:rPr>
        <w:t>60.300</w:t>
      </w:r>
      <w:r>
        <w:rPr>
          <w:szCs w:val="22"/>
          <w:lang w:val="hr-HR"/>
        </w:rPr>
        <w:t xml:space="preserve">,00 €. Navedenim sredstvima planiraju se podmiriti naknade troškova zaposlenima (prijevoz zaposlenika na posao i s posla, službena putovanja), rashodi za materijal i energiju (uredski materijal, materijal i sirovine, energija, materijal i dijelovi za tekuće i investicijsko održavanje), rashodi za usluge (usluge tekućeg i investicijskog održavanja, komunalne usluge, zdravstvene i veterinarske usluge) te ostali nespomenuti rashodi poslovanja (naknade za rad zatvorenika – dio koji se financira iz proračuna, premije osiguranja). Sredstva su planirana na temelju potreba za oko 145 zatvorenika uz povećanja iznosa zbog stalnog povećanja cijena roba i usluga na tržištu. </w:t>
      </w:r>
      <w:r w:rsidRPr="00C41928">
        <w:rPr>
          <w:szCs w:val="22"/>
          <w:lang w:val="hr-HR"/>
        </w:rPr>
        <w:t xml:space="preserve"> </w:t>
      </w:r>
    </w:p>
    <w:p w14:paraId="7069FFED" w14:textId="77777777" w:rsidR="00883561" w:rsidRPr="00C41928" w:rsidRDefault="00883561" w:rsidP="00CC530A">
      <w:pPr>
        <w:spacing w:after="0"/>
        <w:rPr>
          <w:szCs w:val="22"/>
          <w:lang w:val="hr-HR"/>
        </w:rPr>
      </w:pPr>
    </w:p>
    <w:p w14:paraId="36E0E0F5" w14:textId="5A6509B0" w:rsidR="00203744" w:rsidRPr="00FC3DCC" w:rsidRDefault="00203744" w:rsidP="00203744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34 Financijski rashodi </w:t>
      </w:r>
      <w:r>
        <w:rPr>
          <w:b/>
          <w:szCs w:val="22"/>
          <w:lang w:val="hr-HR"/>
        </w:rPr>
        <w:t xml:space="preserve">– </w:t>
      </w:r>
      <w:r>
        <w:rPr>
          <w:szCs w:val="22"/>
          <w:lang w:val="hr-HR"/>
        </w:rPr>
        <w:t>Planirani su na temelju dosadašnjih kretanja cijena bankarskih usluga i usluga platnog prometa u iznosu od 1</w:t>
      </w:r>
      <w:r w:rsidR="00052C28">
        <w:rPr>
          <w:szCs w:val="22"/>
          <w:lang w:val="hr-HR"/>
        </w:rPr>
        <w:t>6</w:t>
      </w:r>
      <w:r>
        <w:rPr>
          <w:szCs w:val="22"/>
          <w:lang w:val="hr-HR"/>
        </w:rPr>
        <w:t>00,00 €,</w:t>
      </w:r>
    </w:p>
    <w:p w14:paraId="400E0478" w14:textId="74CE46BC" w:rsidR="00D67468" w:rsidRPr="00C41928" w:rsidRDefault="00D67468" w:rsidP="00A92045">
      <w:pPr>
        <w:spacing w:after="0"/>
        <w:rPr>
          <w:szCs w:val="22"/>
          <w:lang w:val="hr-HR"/>
        </w:rPr>
      </w:pPr>
    </w:p>
    <w:p w14:paraId="280A01D1" w14:textId="5B14FBBB" w:rsidR="002021E2" w:rsidRPr="001C051D" w:rsidRDefault="002021E2" w:rsidP="002021E2">
      <w:pPr>
        <w:spacing w:after="0"/>
        <w:rPr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  <w:r w:rsidRPr="00C41928">
        <w:rPr>
          <w:szCs w:val="22"/>
          <w:lang w:val="hr-HR"/>
        </w:rPr>
        <w:t xml:space="preserve"> </w:t>
      </w:r>
      <w:r>
        <w:rPr>
          <w:szCs w:val="22"/>
          <w:lang w:val="hr-HR"/>
        </w:rPr>
        <w:t>–</w:t>
      </w:r>
      <w:r w:rsidRPr="00C41928">
        <w:rPr>
          <w:szCs w:val="22"/>
          <w:lang w:val="hr-HR"/>
        </w:rPr>
        <w:t xml:space="preserve"> </w:t>
      </w:r>
      <w:r w:rsidR="00052C28">
        <w:rPr>
          <w:szCs w:val="22"/>
          <w:lang w:val="hr-HR"/>
        </w:rPr>
        <w:t>Planirani</w:t>
      </w:r>
      <w:r w:rsidR="003E59CF">
        <w:rPr>
          <w:szCs w:val="22"/>
          <w:lang w:val="hr-HR"/>
        </w:rPr>
        <w:t xml:space="preserve"> su u iznosu 2.046.900,00 </w:t>
      </w:r>
      <w:proofErr w:type="spellStart"/>
      <w:r w:rsidR="003E59CF">
        <w:rPr>
          <w:szCs w:val="22"/>
          <w:lang w:val="hr-HR"/>
        </w:rPr>
        <w:t>eur</w:t>
      </w:r>
      <w:proofErr w:type="spellEnd"/>
      <w:r w:rsidR="003E59CF">
        <w:rPr>
          <w:szCs w:val="22"/>
          <w:lang w:val="hr-HR"/>
        </w:rPr>
        <w:t xml:space="preserve">. Za pripremu </w:t>
      </w:r>
      <w:r w:rsidR="00C00657">
        <w:rPr>
          <w:szCs w:val="22"/>
          <w:lang w:val="hr-HR"/>
        </w:rPr>
        <w:t xml:space="preserve">projektne </w:t>
      </w:r>
      <w:r w:rsidR="003E59CF">
        <w:rPr>
          <w:szCs w:val="22"/>
          <w:lang w:val="hr-HR"/>
        </w:rPr>
        <w:t>dokumentacije i</w:t>
      </w:r>
      <w:r w:rsidR="00052C28">
        <w:rPr>
          <w:szCs w:val="22"/>
          <w:lang w:val="hr-HR"/>
        </w:rPr>
        <w:t xml:space="preserve"> izgradnju nove zgrade Zatvora planirano je 2.000.000,00 </w:t>
      </w:r>
      <w:proofErr w:type="spellStart"/>
      <w:r w:rsidR="00052C28">
        <w:rPr>
          <w:szCs w:val="22"/>
          <w:lang w:val="hr-HR"/>
        </w:rPr>
        <w:t>eur</w:t>
      </w:r>
      <w:proofErr w:type="spellEnd"/>
      <w:r w:rsidR="00052C28">
        <w:rPr>
          <w:szCs w:val="22"/>
          <w:lang w:val="hr-HR"/>
        </w:rPr>
        <w:t xml:space="preserve">. </w:t>
      </w:r>
      <w:r>
        <w:rPr>
          <w:szCs w:val="22"/>
          <w:lang w:val="hr-HR"/>
        </w:rPr>
        <w:t xml:space="preserve">Uzimajući u obzir povećani broj zatvorenika, vijek trajanja pojedine opreme i uređaja neophodnih za nesmetano funkcioniranje sustava planiran je iznos od </w:t>
      </w:r>
      <w:r w:rsidR="00052C28">
        <w:rPr>
          <w:szCs w:val="22"/>
          <w:lang w:val="hr-HR"/>
        </w:rPr>
        <w:t>46.9</w:t>
      </w:r>
      <w:r>
        <w:rPr>
          <w:szCs w:val="22"/>
          <w:lang w:val="hr-HR"/>
        </w:rPr>
        <w:t xml:space="preserve">00,00 €. </w:t>
      </w:r>
      <w:r w:rsidR="004F597C">
        <w:rPr>
          <w:szCs w:val="22"/>
          <w:lang w:val="hr-HR"/>
        </w:rPr>
        <w:t>Iz navedenog iznosa</w:t>
      </w:r>
      <w:r w:rsidR="00052C28">
        <w:rPr>
          <w:szCs w:val="22"/>
          <w:lang w:val="hr-HR"/>
        </w:rPr>
        <w:t xml:space="preserve"> planira se uložiti opremanje soba za zatvorenike, komunikacijsku opremu za novu zgradu zatvora, video nadz</w:t>
      </w:r>
      <w:r w:rsidR="009913F8">
        <w:rPr>
          <w:szCs w:val="22"/>
          <w:lang w:val="hr-HR"/>
        </w:rPr>
        <w:t>or novog objekta i drugu potrebnu opremu i postrojenja koja omogućuju stavljanje objekta u rad</w:t>
      </w:r>
      <w:r w:rsidR="004F597C">
        <w:rPr>
          <w:szCs w:val="22"/>
          <w:lang w:val="hr-HR"/>
        </w:rPr>
        <w:t>.</w:t>
      </w:r>
      <w:r>
        <w:rPr>
          <w:szCs w:val="22"/>
          <w:lang w:val="hr-HR"/>
        </w:rPr>
        <w:t xml:space="preserve"> </w:t>
      </w:r>
    </w:p>
    <w:p w14:paraId="79C23D19" w14:textId="77777777" w:rsidR="00780A30" w:rsidRPr="00C41928" w:rsidRDefault="00780A30" w:rsidP="00A92045">
      <w:pPr>
        <w:spacing w:after="0"/>
        <w:rPr>
          <w:b/>
          <w:szCs w:val="22"/>
          <w:lang w:val="hr-HR"/>
        </w:rPr>
      </w:pPr>
    </w:p>
    <w:p w14:paraId="6A7C2F0E" w14:textId="77777777" w:rsidR="000D3362" w:rsidRDefault="000D3362" w:rsidP="002F26AE">
      <w:pPr>
        <w:spacing w:after="0"/>
        <w:rPr>
          <w:b/>
          <w:szCs w:val="22"/>
          <w:lang w:val="hr-HR"/>
        </w:rPr>
      </w:pPr>
    </w:p>
    <w:p w14:paraId="041FB6DE" w14:textId="06D6AD7B" w:rsidR="000D3362" w:rsidRDefault="000D3362" w:rsidP="002F26AE">
      <w:pPr>
        <w:spacing w:after="0"/>
        <w:rPr>
          <w:szCs w:val="22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 w:rsidRPr="00C41928">
        <w:rPr>
          <w:szCs w:val="22"/>
        </w:rPr>
        <w:t xml:space="preserve"> </w:t>
      </w:r>
      <w:r>
        <w:rPr>
          <w:szCs w:val="22"/>
        </w:rPr>
        <w:t>–</w:t>
      </w:r>
      <w:r w:rsidRPr="00C41928">
        <w:rPr>
          <w:szCs w:val="22"/>
        </w:rPr>
        <w:t xml:space="preserve"> </w:t>
      </w:r>
      <w:r w:rsidR="009913F8">
        <w:rPr>
          <w:szCs w:val="22"/>
        </w:rPr>
        <w:t>Planirani iznos ulaganja u 2026</w:t>
      </w:r>
      <w:r>
        <w:rPr>
          <w:szCs w:val="22"/>
        </w:rPr>
        <w:t>. godini je 1</w:t>
      </w:r>
      <w:r w:rsidR="009913F8">
        <w:rPr>
          <w:szCs w:val="22"/>
        </w:rPr>
        <w:t>21</w:t>
      </w:r>
      <w:r>
        <w:rPr>
          <w:szCs w:val="22"/>
        </w:rPr>
        <w:t>.</w:t>
      </w:r>
      <w:r w:rsidR="009913F8">
        <w:rPr>
          <w:szCs w:val="22"/>
        </w:rPr>
        <w:t>5</w:t>
      </w:r>
      <w:r>
        <w:rPr>
          <w:szCs w:val="22"/>
        </w:rPr>
        <w:t>00,00 € (</w:t>
      </w:r>
      <w:r w:rsidR="003E59CF">
        <w:rPr>
          <w:szCs w:val="22"/>
        </w:rPr>
        <w:t>radovi na energetskoj obnovi zgrade Zatvora</w:t>
      </w:r>
      <w:r w:rsidR="00A9410D">
        <w:rPr>
          <w:szCs w:val="22"/>
        </w:rPr>
        <w:t>)</w:t>
      </w:r>
    </w:p>
    <w:p w14:paraId="6B2B2A6C" w14:textId="720761A0" w:rsidR="001A1BA9" w:rsidRDefault="001A1BA9" w:rsidP="002F26AE">
      <w:pPr>
        <w:spacing w:after="0"/>
        <w:rPr>
          <w:szCs w:val="22"/>
        </w:rPr>
      </w:pPr>
    </w:p>
    <w:p w14:paraId="4AF306F5" w14:textId="059DE32F" w:rsidR="001A1BA9" w:rsidRPr="007F5AE5" w:rsidRDefault="001A1BA9" w:rsidP="001A1BA9">
      <w:pPr>
        <w:spacing w:after="0"/>
        <w:rPr>
          <w:b/>
          <w:szCs w:val="22"/>
          <w:u w:val="single"/>
          <w:lang w:val="hr-HR"/>
        </w:rPr>
      </w:pPr>
      <w:r w:rsidRPr="007F5AE5">
        <w:rPr>
          <w:b/>
          <w:szCs w:val="22"/>
          <w:u w:val="single"/>
          <w:lang w:val="hr-HR"/>
        </w:rPr>
        <w:t>Izvor 11 –</w:t>
      </w:r>
      <w:r w:rsidR="004A33A8">
        <w:rPr>
          <w:b/>
          <w:szCs w:val="22"/>
          <w:u w:val="single"/>
          <w:lang w:val="hr-HR"/>
        </w:rPr>
        <w:t xml:space="preserve"> 2027.</w:t>
      </w:r>
      <w:r w:rsidRPr="007F5AE5">
        <w:rPr>
          <w:b/>
          <w:szCs w:val="22"/>
          <w:u w:val="single"/>
          <w:lang w:val="hr-HR"/>
        </w:rPr>
        <w:t xml:space="preserve"> godina</w:t>
      </w:r>
    </w:p>
    <w:p w14:paraId="685EB7DF" w14:textId="77777777" w:rsidR="001A1BA9" w:rsidRPr="00C41928" w:rsidRDefault="001A1BA9" w:rsidP="001A1BA9">
      <w:pPr>
        <w:spacing w:after="0"/>
        <w:rPr>
          <w:szCs w:val="22"/>
          <w:lang w:val="hr-HR"/>
        </w:rPr>
      </w:pPr>
    </w:p>
    <w:p w14:paraId="14C0E22C" w14:textId="51CEED16" w:rsidR="001A1BA9" w:rsidRPr="00780A30" w:rsidRDefault="001A1BA9" w:rsidP="001A1BA9">
      <w:pPr>
        <w:spacing w:after="0"/>
        <w:rPr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 </w:t>
      </w:r>
      <w:r>
        <w:rPr>
          <w:szCs w:val="22"/>
          <w:lang w:val="hr-HR"/>
        </w:rPr>
        <w:t>Planirana su sredstva u iznosu 2.</w:t>
      </w:r>
      <w:r w:rsidR="00A9410D">
        <w:rPr>
          <w:szCs w:val="22"/>
          <w:lang w:val="hr-HR"/>
        </w:rPr>
        <w:t>718</w:t>
      </w:r>
      <w:r w:rsidR="00847ADE">
        <w:rPr>
          <w:szCs w:val="22"/>
          <w:lang w:val="hr-HR"/>
        </w:rPr>
        <w:t>.0</w:t>
      </w:r>
      <w:r>
        <w:rPr>
          <w:szCs w:val="22"/>
          <w:lang w:val="hr-HR"/>
        </w:rPr>
        <w:t>00,00 €. Sredstva su planirana na temelju broja zaposlenih i isplaćenih plaća za prethodne periode uključujući o obzir stupanje na snagu nove Uredbe o nazivima radnih mjesta, uvjetima za raspored i koeficijentima za obračun plaće u državnoj službi (NN22/2024). U 202</w:t>
      </w:r>
      <w:r w:rsidR="00A9410D">
        <w:rPr>
          <w:szCs w:val="22"/>
          <w:lang w:val="hr-HR"/>
        </w:rPr>
        <w:t>7</w:t>
      </w:r>
      <w:r>
        <w:rPr>
          <w:szCs w:val="22"/>
          <w:lang w:val="hr-HR"/>
        </w:rPr>
        <w:t xml:space="preserve">. godini planira se zapošljavanje još </w:t>
      </w:r>
      <w:r w:rsidR="00A9410D">
        <w:rPr>
          <w:szCs w:val="22"/>
          <w:lang w:val="hr-HR"/>
        </w:rPr>
        <w:t>4</w:t>
      </w:r>
      <w:r w:rsidR="006E2A15">
        <w:rPr>
          <w:szCs w:val="22"/>
          <w:lang w:val="hr-HR"/>
        </w:rPr>
        <w:t xml:space="preserve"> službenika</w:t>
      </w:r>
      <w:r>
        <w:rPr>
          <w:szCs w:val="22"/>
          <w:lang w:val="hr-HR"/>
        </w:rPr>
        <w:t xml:space="preserve"> čije su plaće također uzete u obz</w:t>
      </w:r>
      <w:r w:rsidR="00A9410D">
        <w:rPr>
          <w:szCs w:val="22"/>
          <w:lang w:val="hr-HR"/>
        </w:rPr>
        <w:t>ir. Božićnica je planirana za 79</w:t>
      </w:r>
      <w:r>
        <w:rPr>
          <w:szCs w:val="22"/>
          <w:lang w:val="hr-HR"/>
        </w:rPr>
        <w:t xml:space="preserve"> zaposlenika u iznosu od 300 </w:t>
      </w:r>
      <w:proofErr w:type="spellStart"/>
      <w:r>
        <w:rPr>
          <w:szCs w:val="22"/>
          <w:lang w:val="hr-HR"/>
        </w:rPr>
        <w:t>eur</w:t>
      </w:r>
      <w:proofErr w:type="spellEnd"/>
      <w:r>
        <w:rPr>
          <w:szCs w:val="22"/>
          <w:lang w:val="hr-HR"/>
        </w:rPr>
        <w:t xml:space="preserve"> po službeniku, </w:t>
      </w:r>
      <w:r w:rsidR="00A9410D">
        <w:rPr>
          <w:szCs w:val="22"/>
          <w:lang w:val="hr-HR"/>
        </w:rPr>
        <w:t>regres je također planiran za 79</w:t>
      </w:r>
      <w:r>
        <w:rPr>
          <w:szCs w:val="22"/>
          <w:lang w:val="hr-HR"/>
        </w:rPr>
        <w:t xml:space="preserve"> zaposlenika sa 300 </w:t>
      </w:r>
      <w:proofErr w:type="spellStart"/>
      <w:r>
        <w:rPr>
          <w:szCs w:val="22"/>
          <w:lang w:val="hr-HR"/>
        </w:rPr>
        <w:t>eur</w:t>
      </w:r>
      <w:proofErr w:type="spellEnd"/>
      <w:r>
        <w:rPr>
          <w:szCs w:val="22"/>
          <w:lang w:val="hr-HR"/>
        </w:rPr>
        <w:t xml:space="preserve"> po službeniku, a dar za djecu u iznosu 100 </w:t>
      </w:r>
      <w:proofErr w:type="spellStart"/>
      <w:r>
        <w:rPr>
          <w:szCs w:val="22"/>
          <w:lang w:val="hr-HR"/>
        </w:rPr>
        <w:t>eur</w:t>
      </w:r>
      <w:proofErr w:type="spellEnd"/>
      <w:r>
        <w:rPr>
          <w:szCs w:val="22"/>
          <w:lang w:val="hr-HR"/>
        </w:rPr>
        <w:t xml:space="preserve"> po djetetu za 50 djece do 15 godina starosti. Uzete su obzir i jubilarne nagrade za 15 službenika u ukupnom iznosu od 10.000,00 €, te budući se planiraju odlasci </w:t>
      </w:r>
      <w:r w:rsidR="008E5A02">
        <w:rPr>
          <w:szCs w:val="22"/>
          <w:lang w:val="hr-HR"/>
        </w:rPr>
        <w:t>tri</w:t>
      </w:r>
      <w:r>
        <w:rPr>
          <w:szCs w:val="22"/>
          <w:lang w:val="hr-HR"/>
        </w:rPr>
        <w:t xml:space="preserve">  službenika u mirovinu, planirano je </w:t>
      </w:r>
      <w:r w:rsidR="00485A1B">
        <w:rPr>
          <w:szCs w:val="22"/>
          <w:lang w:val="hr-HR"/>
        </w:rPr>
        <w:t>tri</w:t>
      </w:r>
      <w:r>
        <w:rPr>
          <w:szCs w:val="22"/>
          <w:lang w:val="hr-HR"/>
        </w:rPr>
        <w:t xml:space="preserve"> otpremnine u ukupnom bruto iznosu 40.000,00 €.</w:t>
      </w:r>
    </w:p>
    <w:p w14:paraId="46B164A3" w14:textId="77777777" w:rsidR="001A1BA9" w:rsidRDefault="001A1BA9" w:rsidP="001A1BA9">
      <w:pPr>
        <w:spacing w:after="0"/>
        <w:rPr>
          <w:szCs w:val="22"/>
          <w:lang w:val="hr-HR"/>
        </w:rPr>
      </w:pPr>
    </w:p>
    <w:p w14:paraId="1E6E92F7" w14:textId="1E698510" w:rsidR="001A1BA9" w:rsidRPr="001C051D" w:rsidRDefault="001A1BA9" w:rsidP="001A1BA9">
      <w:pPr>
        <w:spacing w:after="0"/>
        <w:rPr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Pr="00C41928">
        <w:rPr>
          <w:szCs w:val="22"/>
          <w:lang w:val="hr-HR"/>
        </w:rPr>
        <w:t xml:space="preserve">  -</w:t>
      </w:r>
      <w:r>
        <w:rPr>
          <w:szCs w:val="22"/>
          <w:lang w:val="hr-HR"/>
        </w:rPr>
        <w:t xml:space="preserve">Materijalni rashodi planiraju se u iznosu </w:t>
      </w:r>
      <w:r w:rsidR="00A9410D">
        <w:rPr>
          <w:szCs w:val="22"/>
          <w:lang w:val="hr-HR"/>
        </w:rPr>
        <w:t>356</w:t>
      </w:r>
      <w:r w:rsidR="00AC42D2">
        <w:rPr>
          <w:szCs w:val="22"/>
          <w:lang w:val="hr-HR"/>
        </w:rPr>
        <w:t>.</w:t>
      </w:r>
      <w:r w:rsidR="00A9410D">
        <w:rPr>
          <w:szCs w:val="22"/>
          <w:lang w:val="hr-HR"/>
        </w:rPr>
        <w:t>0</w:t>
      </w:r>
      <w:r>
        <w:rPr>
          <w:szCs w:val="22"/>
          <w:lang w:val="hr-HR"/>
        </w:rPr>
        <w:t xml:space="preserve">00,00 €. Navedenim sredstvima planiraju se podmiriti naknade troškova zaposlenima (prijevoz zaposlenika na posao i s posla, službena putovanja), rashodi za materijal i energiju (uredski materijal, materijal i sirovine, energija, materijal i dijelovi za tekuće i investicijsko održavanje), rashodi za usluge (usluge tekućeg i investicijskog održavanja, komunalne usluge, zdravstvene i veterinarske usluge) te ostali nespomenuti rashodi poslovanja (naknade za rad zatvorenika – dio koji se financira iz proračuna, premije osiguranja). Sredstva su planirana na temelju potreba za oko 145 zatvorenika uz povećanja iznosa zbog stalnog povećanja cijena roba i usluga na tržištu. </w:t>
      </w:r>
      <w:r w:rsidRPr="00C41928">
        <w:rPr>
          <w:szCs w:val="22"/>
          <w:lang w:val="hr-HR"/>
        </w:rPr>
        <w:t xml:space="preserve"> </w:t>
      </w:r>
    </w:p>
    <w:p w14:paraId="1308C7BA" w14:textId="77777777" w:rsidR="001A1BA9" w:rsidRPr="00C41928" w:rsidRDefault="001A1BA9" w:rsidP="001A1BA9">
      <w:pPr>
        <w:spacing w:after="0"/>
        <w:rPr>
          <w:szCs w:val="22"/>
          <w:lang w:val="hr-HR"/>
        </w:rPr>
      </w:pPr>
    </w:p>
    <w:p w14:paraId="52E2F4AC" w14:textId="3F3636BE" w:rsidR="001A1BA9" w:rsidRPr="00FC3DCC" w:rsidRDefault="001A1BA9" w:rsidP="001A1BA9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34 Financijski rashodi </w:t>
      </w:r>
      <w:r>
        <w:rPr>
          <w:b/>
          <w:szCs w:val="22"/>
          <w:lang w:val="hr-HR"/>
        </w:rPr>
        <w:t xml:space="preserve">– </w:t>
      </w:r>
      <w:r>
        <w:rPr>
          <w:szCs w:val="22"/>
          <w:lang w:val="hr-HR"/>
        </w:rPr>
        <w:t xml:space="preserve">Planirani su na temelju dosadašnjih kretanja cijena bankarskih usluga i usluga platnog prometa u iznosu od </w:t>
      </w:r>
      <w:r w:rsidR="004F017E">
        <w:rPr>
          <w:szCs w:val="22"/>
          <w:lang w:val="hr-HR"/>
        </w:rPr>
        <w:t>1</w:t>
      </w:r>
      <w:r w:rsidR="00B74337">
        <w:rPr>
          <w:szCs w:val="22"/>
          <w:lang w:val="hr-HR"/>
        </w:rPr>
        <w:t>.</w:t>
      </w:r>
      <w:r w:rsidR="00A9410D">
        <w:rPr>
          <w:szCs w:val="22"/>
          <w:lang w:val="hr-HR"/>
        </w:rPr>
        <w:t>5</w:t>
      </w:r>
      <w:r>
        <w:rPr>
          <w:szCs w:val="22"/>
          <w:lang w:val="hr-HR"/>
        </w:rPr>
        <w:t>00,00</w:t>
      </w:r>
      <w:r w:rsidR="007D1405">
        <w:rPr>
          <w:szCs w:val="22"/>
          <w:lang w:val="hr-HR"/>
        </w:rPr>
        <w:t xml:space="preserve"> €.</w:t>
      </w:r>
    </w:p>
    <w:p w14:paraId="67D15CF9" w14:textId="77777777" w:rsidR="001A1BA9" w:rsidRPr="00C41928" w:rsidRDefault="001A1BA9" w:rsidP="001A1BA9">
      <w:pPr>
        <w:spacing w:after="0"/>
        <w:rPr>
          <w:szCs w:val="22"/>
          <w:lang w:val="hr-HR"/>
        </w:rPr>
      </w:pPr>
    </w:p>
    <w:p w14:paraId="65E8AB46" w14:textId="69D43D8A" w:rsidR="001A1BA9" w:rsidRPr="001C051D" w:rsidRDefault="001A1BA9" w:rsidP="001A1BA9">
      <w:pPr>
        <w:spacing w:after="0"/>
        <w:rPr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  <w:r w:rsidRPr="00C41928">
        <w:rPr>
          <w:szCs w:val="22"/>
          <w:lang w:val="hr-HR"/>
        </w:rPr>
        <w:t xml:space="preserve"> </w:t>
      </w:r>
      <w:r>
        <w:rPr>
          <w:szCs w:val="22"/>
          <w:lang w:val="hr-HR"/>
        </w:rPr>
        <w:t>–</w:t>
      </w:r>
      <w:r w:rsidRPr="00C41928">
        <w:rPr>
          <w:szCs w:val="22"/>
          <w:lang w:val="hr-HR"/>
        </w:rPr>
        <w:t xml:space="preserve"> </w:t>
      </w:r>
      <w:r w:rsidR="00A9410D">
        <w:rPr>
          <w:szCs w:val="22"/>
          <w:lang w:val="hr-HR"/>
        </w:rPr>
        <w:t xml:space="preserve">Planirani su u iznosu 2.014.500,00 </w:t>
      </w:r>
      <w:proofErr w:type="spellStart"/>
      <w:r w:rsidR="00A9410D">
        <w:rPr>
          <w:szCs w:val="22"/>
          <w:lang w:val="hr-HR"/>
        </w:rPr>
        <w:t>eur</w:t>
      </w:r>
      <w:proofErr w:type="spellEnd"/>
      <w:r w:rsidR="00A9410D">
        <w:rPr>
          <w:szCs w:val="22"/>
          <w:lang w:val="hr-HR"/>
        </w:rPr>
        <w:t xml:space="preserve">. Za izgradnju nove zgrade Zatvora planirano je 2.000.000,00 </w:t>
      </w:r>
      <w:proofErr w:type="spellStart"/>
      <w:r w:rsidR="00A9410D">
        <w:rPr>
          <w:szCs w:val="22"/>
          <w:lang w:val="hr-HR"/>
        </w:rPr>
        <w:t>eur</w:t>
      </w:r>
      <w:proofErr w:type="spellEnd"/>
      <w:r w:rsidR="00A9410D">
        <w:rPr>
          <w:szCs w:val="22"/>
          <w:lang w:val="hr-HR"/>
        </w:rPr>
        <w:t xml:space="preserve">. </w:t>
      </w:r>
      <w:r>
        <w:rPr>
          <w:szCs w:val="22"/>
          <w:lang w:val="hr-HR"/>
        </w:rPr>
        <w:t xml:space="preserve">Uzimajući u obzir povećani broj zatvorenika, vijek trajanja pojedine opreme i uređaja neophodnih za nesmetano funkcioniranje sustava planiran je iznos od </w:t>
      </w:r>
      <w:r w:rsidR="00A9410D">
        <w:rPr>
          <w:szCs w:val="22"/>
          <w:lang w:val="hr-HR"/>
        </w:rPr>
        <w:t>14.500</w:t>
      </w:r>
      <w:r>
        <w:rPr>
          <w:szCs w:val="22"/>
          <w:lang w:val="hr-HR"/>
        </w:rPr>
        <w:t xml:space="preserve">,00 €. Iz navedenog iznosa planira se uložiti </w:t>
      </w:r>
      <w:r w:rsidR="00074C57">
        <w:rPr>
          <w:szCs w:val="22"/>
          <w:lang w:val="hr-HR"/>
        </w:rPr>
        <w:t>na nabavu nove opreme i</w:t>
      </w:r>
      <w:r w:rsidR="00BA0E00">
        <w:rPr>
          <w:szCs w:val="22"/>
          <w:lang w:val="hr-HR"/>
        </w:rPr>
        <w:t xml:space="preserve"> uređaja.</w:t>
      </w:r>
    </w:p>
    <w:p w14:paraId="29FF8F12" w14:textId="77777777" w:rsidR="001A1BA9" w:rsidRPr="00C41928" w:rsidRDefault="001A1BA9" w:rsidP="001A1BA9">
      <w:pPr>
        <w:spacing w:after="0"/>
        <w:rPr>
          <w:b/>
          <w:szCs w:val="22"/>
          <w:lang w:val="hr-HR"/>
        </w:rPr>
      </w:pPr>
    </w:p>
    <w:p w14:paraId="4C207BEE" w14:textId="77777777" w:rsidR="001A1BA9" w:rsidRDefault="001A1BA9" w:rsidP="001A1BA9">
      <w:pPr>
        <w:spacing w:after="0"/>
        <w:rPr>
          <w:b/>
          <w:szCs w:val="22"/>
          <w:lang w:val="hr-HR"/>
        </w:rPr>
      </w:pPr>
    </w:p>
    <w:p w14:paraId="153F43DD" w14:textId="3A836F84" w:rsidR="001A1BA9" w:rsidRDefault="001A1BA9" w:rsidP="001A1BA9">
      <w:pPr>
        <w:spacing w:after="0"/>
        <w:rPr>
          <w:szCs w:val="22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 w:rsidRPr="00C41928">
        <w:rPr>
          <w:szCs w:val="22"/>
        </w:rPr>
        <w:t xml:space="preserve"> </w:t>
      </w:r>
      <w:r>
        <w:rPr>
          <w:szCs w:val="22"/>
        </w:rPr>
        <w:t>–</w:t>
      </w:r>
      <w:r w:rsidRPr="00C41928">
        <w:rPr>
          <w:szCs w:val="22"/>
        </w:rPr>
        <w:t xml:space="preserve"> </w:t>
      </w:r>
      <w:r>
        <w:rPr>
          <w:szCs w:val="22"/>
        </w:rPr>
        <w:t>Planirani iznos ulaganja u 202</w:t>
      </w:r>
      <w:r w:rsidR="00A9410D">
        <w:rPr>
          <w:szCs w:val="22"/>
        </w:rPr>
        <w:t>7</w:t>
      </w:r>
      <w:r>
        <w:rPr>
          <w:szCs w:val="22"/>
        </w:rPr>
        <w:t xml:space="preserve">. godini je </w:t>
      </w:r>
      <w:r w:rsidR="00A9410D">
        <w:rPr>
          <w:szCs w:val="22"/>
        </w:rPr>
        <w:t>302</w:t>
      </w:r>
      <w:r>
        <w:rPr>
          <w:szCs w:val="22"/>
        </w:rPr>
        <w:t>.000,00 € (</w:t>
      </w:r>
      <w:r w:rsidR="00970078">
        <w:rPr>
          <w:szCs w:val="22"/>
        </w:rPr>
        <w:t>radovi na energetskoj obnovi Zgrade Zatvora</w:t>
      </w:r>
      <w:r w:rsidR="00A9410D">
        <w:rPr>
          <w:szCs w:val="22"/>
        </w:rPr>
        <w:t xml:space="preserve">, </w:t>
      </w:r>
      <w:r>
        <w:rPr>
          <w:szCs w:val="22"/>
        </w:rPr>
        <w:t xml:space="preserve">rekonstrukcija </w:t>
      </w:r>
      <w:r w:rsidR="00BA0E00">
        <w:rPr>
          <w:szCs w:val="22"/>
        </w:rPr>
        <w:t>vodovodne i odvodne mreže u sobama zatvorenika)</w:t>
      </w:r>
      <w:r>
        <w:rPr>
          <w:szCs w:val="22"/>
        </w:rPr>
        <w:t>.</w:t>
      </w:r>
    </w:p>
    <w:p w14:paraId="6E3885E4" w14:textId="09756A20" w:rsidR="00580D69" w:rsidRDefault="00580D69" w:rsidP="001A1BA9">
      <w:pPr>
        <w:spacing w:after="0"/>
        <w:rPr>
          <w:szCs w:val="22"/>
        </w:rPr>
      </w:pPr>
    </w:p>
    <w:p w14:paraId="3DDFFB49" w14:textId="3F27A9A1" w:rsidR="00580D69" w:rsidRPr="007F5AE5" w:rsidRDefault="00580D69" w:rsidP="00580D69">
      <w:pPr>
        <w:spacing w:after="0"/>
        <w:rPr>
          <w:b/>
          <w:szCs w:val="22"/>
          <w:u w:val="single"/>
          <w:lang w:val="hr-HR"/>
        </w:rPr>
      </w:pPr>
      <w:r w:rsidRPr="007F5AE5">
        <w:rPr>
          <w:b/>
          <w:szCs w:val="22"/>
          <w:u w:val="single"/>
          <w:lang w:val="hr-HR"/>
        </w:rPr>
        <w:t>Izvor 11 –</w:t>
      </w:r>
      <w:r w:rsidR="004A33A8">
        <w:rPr>
          <w:b/>
          <w:szCs w:val="22"/>
          <w:u w:val="single"/>
          <w:lang w:val="hr-HR"/>
        </w:rPr>
        <w:t xml:space="preserve"> 2028.</w:t>
      </w:r>
      <w:r w:rsidR="00282EFB">
        <w:rPr>
          <w:b/>
          <w:szCs w:val="22"/>
          <w:u w:val="single"/>
          <w:lang w:val="hr-HR"/>
        </w:rPr>
        <w:t xml:space="preserve"> </w:t>
      </w:r>
      <w:r w:rsidRPr="007F5AE5">
        <w:rPr>
          <w:b/>
          <w:szCs w:val="22"/>
          <w:u w:val="single"/>
          <w:lang w:val="hr-HR"/>
        </w:rPr>
        <w:t>godina</w:t>
      </w:r>
    </w:p>
    <w:p w14:paraId="54B80772" w14:textId="77777777" w:rsidR="00580D69" w:rsidRPr="00C41928" w:rsidRDefault="00580D69" w:rsidP="00580D69">
      <w:pPr>
        <w:spacing w:after="0"/>
        <w:rPr>
          <w:szCs w:val="22"/>
          <w:lang w:val="hr-HR"/>
        </w:rPr>
      </w:pPr>
    </w:p>
    <w:p w14:paraId="330277C8" w14:textId="32F4FAAD" w:rsidR="00580D69" w:rsidRPr="00780A30" w:rsidRDefault="00580D69" w:rsidP="00580D69">
      <w:pPr>
        <w:spacing w:after="0"/>
        <w:rPr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 </w:t>
      </w:r>
      <w:r>
        <w:rPr>
          <w:szCs w:val="22"/>
          <w:lang w:val="hr-HR"/>
        </w:rPr>
        <w:t xml:space="preserve">Planirana su sredstva u iznosu </w:t>
      </w:r>
      <w:r w:rsidR="00865910">
        <w:rPr>
          <w:szCs w:val="22"/>
          <w:lang w:val="hr-HR"/>
        </w:rPr>
        <w:t>2.738</w:t>
      </w:r>
      <w:r>
        <w:rPr>
          <w:szCs w:val="22"/>
          <w:lang w:val="hr-HR"/>
        </w:rPr>
        <w:t>.</w:t>
      </w:r>
      <w:r w:rsidR="000E1309">
        <w:rPr>
          <w:szCs w:val="22"/>
          <w:lang w:val="hr-HR"/>
        </w:rPr>
        <w:t>0</w:t>
      </w:r>
      <w:r>
        <w:rPr>
          <w:szCs w:val="22"/>
          <w:lang w:val="hr-HR"/>
        </w:rPr>
        <w:t>00,00 €. Sredstva su planirana na temelju broja zaposlenih i isplaćenih plaća za prethodne periode uključujući o obzir stupanje na snagu nove Uredbe o nazivima radnih mjesta, uvjetima za raspored i koeficijentima za obračun plaće u državnoj službi (NN</w:t>
      </w:r>
      <w:r w:rsidR="006E2A15">
        <w:rPr>
          <w:szCs w:val="22"/>
          <w:lang w:val="hr-HR"/>
        </w:rPr>
        <w:t xml:space="preserve"> </w:t>
      </w:r>
      <w:r w:rsidR="00790225">
        <w:rPr>
          <w:szCs w:val="22"/>
          <w:lang w:val="hr-HR"/>
        </w:rPr>
        <w:t>22/2024). U 2027</w:t>
      </w:r>
      <w:r>
        <w:rPr>
          <w:szCs w:val="22"/>
          <w:lang w:val="hr-HR"/>
        </w:rPr>
        <w:t xml:space="preserve">. godini planira se zapošljavanje još </w:t>
      </w:r>
      <w:r w:rsidR="00282EFB">
        <w:rPr>
          <w:szCs w:val="22"/>
          <w:lang w:val="hr-HR"/>
        </w:rPr>
        <w:t xml:space="preserve">3 </w:t>
      </w:r>
      <w:r>
        <w:rPr>
          <w:szCs w:val="22"/>
          <w:lang w:val="hr-HR"/>
        </w:rPr>
        <w:t>službenika čije su plaće također uzete u obz</w:t>
      </w:r>
      <w:r w:rsidR="00093516">
        <w:rPr>
          <w:szCs w:val="22"/>
          <w:lang w:val="hr-HR"/>
        </w:rPr>
        <w:t>ir. Božićnica je planirana za 79</w:t>
      </w:r>
      <w:r>
        <w:rPr>
          <w:szCs w:val="22"/>
          <w:lang w:val="hr-HR"/>
        </w:rPr>
        <w:t xml:space="preserve"> zaposlenika u iznosu od 300 </w:t>
      </w:r>
      <w:proofErr w:type="spellStart"/>
      <w:r>
        <w:rPr>
          <w:szCs w:val="22"/>
          <w:lang w:val="hr-HR"/>
        </w:rPr>
        <w:t>eur</w:t>
      </w:r>
      <w:proofErr w:type="spellEnd"/>
      <w:r>
        <w:rPr>
          <w:szCs w:val="22"/>
          <w:lang w:val="hr-HR"/>
        </w:rPr>
        <w:t xml:space="preserve"> po službeniku, </w:t>
      </w:r>
      <w:r w:rsidR="00093516">
        <w:rPr>
          <w:szCs w:val="22"/>
          <w:lang w:val="hr-HR"/>
        </w:rPr>
        <w:t>regres je također planiran za 79</w:t>
      </w:r>
      <w:r>
        <w:rPr>
          <w:szCs w:val="22"/>
          <w:lang w:val="hr-HR"/>
        </w:rPr>
        <w:t xml:space="preserve"> zaposlenika sa 300 </w:t>
      </w:r>
      <w:proofErr w:type="spellStart"/>
      <w:r>
        <w:rPr>
          <w:szCs w:val="22"/>
          <w:lang w:val="hr-HR"/>
        </w:rPr>
        <w:t>eur</w:t>
      </w:r>
      <w:proofErr w:type="spellEnd"/>
      <w:r>
        <w:rPr>
          <w:szCs w:val="22"/>
          <w:lang w:val="hr-HR"/>
        </w:rPr>
        <w:t xml:space="preserve"> po službeniku, a dar za djecu u iznosu 100 </w:t>
      </w:r>
      <w:proofErr w:type="spellStart"/>
      <w:r>
        <w:rPr>
          <w:szCs w:val="22"/>
          <w:lang w:val="hr-HR"/>
        </w:rPr>
        <w:t>eur</w:t>
      </w:r>
      <w:proofErr w:type="spellEnd"/>
      <w:r>
        <w:rPr>
          <w:szCs w:val="22"/>
          <w:lang w:val="hr-HR"/>
        </w:rPr>
        <w:t xml:space="preserve"> po djetetu za 50 djece do 15 godina starosti. Uzete su obzir i jubilarne nagrade za 15 službenika u ukupnom iznosu od 10.000,00 €, te budući se planiraju odlasci </w:t>
      </w:r>
      <w:r w:rsidR="00282EFB">
        <w:rPr>
          <w:szCs w:val="22"/>
          <w:lang w:val="hr-HR"/>
        </w:rPr>
        <w:t>dva</w:t>
      </w:r>
      <w:r>
        <w:rPr>
          <w:szCs w:val="22"/>
          <w:lang w:val="hr-HR"/>
        </w:rPr>
        <w:t xml:space="preserve">  službenika</w:t>
      </w:r>
      <w:r w:rsidR="008E5A02">
        <w:rPr>
          <w:szCs w:val="22"/>
          <w:lang w:val="hr-HR"/>
        </w:rPr>
        <w:t xml:space="preserve"> u mirovinu, planirane su dvije</w:t>
      </w:r>
      <w:r>
        <w:rPr>
          <w:szCs w:val="22"/>
          <w:lang w:val="hr-HR"/>
        </w:rPr>
        <w:t xml:space="preserve"> otpremnin</w:t>
      </w:r>
      <w:r w:rsidR="00C23C3D">
        <w:rPr>
          <w:szCs w:val="22"/>
          <w:lang w:val="hr-HR"/>
        </w:rPr>
        <w:t>e u ukupnom bruto iznosu 30</w:t>
      </w:r>
      <w:r>
        <w:rPr>
          <w:szCs w:val="22"/>
          <w:lang w:val="hr-HR"/>
        </w:rPr>
        <w:t>.000,00 €.</w:t>
      </w:r>
    </w:p>
    <w:p w14:paraId="00BA058F" w14:textId="77777777" w:rsidR="00580D69" w:rsidRDefault="00580D69" w:rsidP="00580D69">
      <w:pPr>
        <w:spacing w:after="0"/>
        <w:rPr>
          <w:szCs w:val="22"/>
          <w:lang w:val="hr-HR"/>
        </w:rPr>
      </w:pPr>
    </w:p>
    <w:p w14:paraId="7B73E084" w14:textId="7D55764C" w:rsidR="00580D69" w:rsidRPr="001C051D" w:rsidRDefault="00580D69" w:rsidP="00580D69">
      <w:pPr>
        <w:spacing w:after="0"/>
        <w:rPr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Pr="00C41928">
        <w:rPr>
          <w:szCs w:val="22"/>
          <w:lang w:val="hr-HR"/>
        </w:rPr>
        <w:t xml:space="preserve">  -</w:t>
      </w:r>
      <w:r>
        <w:rPr>
          <w:szCs w:val="22"/>
          <w:lang w:val="hr-HR"/>
        </w:rPr>
        <w:t xml:space="preserve">Materijalni </w:t>
      </w:r>
      <w:r w:rsidR="00093516">
        <w:rPr>
          <w:szCs w:val="22"/>
          <w:lang w:val="hr-HR"/>
        </w:rPr>
        <w:t>rashodi planiraju se u iznosu 362</w:t>
      </w:r>
      <w:r>
        <w:rPr>
          <w:szCs w:val="22"/>
          <w:lang w:val="hr-HR"/>
        </w:rPr>
        <w:t>.</w:t>
      </w:r>
      <w:r w:rsidR="00093516">
        <w:rPr>
          <w:szCs w:val="22"/>
          <w:lang w:val="hr-HR"/>
        </w:rPr>
        <w:t>6</w:t>
      </w:r>
      <w:r>
        <w:rPr>
          <w:szCs w:val="22"/>
          <w:lang w:val="hr-HR"/>
        </w:rPr>
        <w:t xml:space="preserve">00,00 €. Navedenim sredstvima planiraju se podmiriti naknade troškova zaposlenima (prijevoz zaposlenika na posao i s posla, službena putovanja), rashodi za materijal i energiju (uredski materijal, materijal i sirovine, energija, materijal i dijelovi za tekuće i investicijsko održavanje), rashodi za usluge (usluge tekućeg i investicijskog održavanja, komunalne usluge, zdravstvene i veterinarske usluge) te ostali nespomenuti rashodi poslovanja (naknade za rad zatvorenika – dio koji se financira iz proračuna, premije osiguranja). Sredstva su planirana na temelju potreba za oko 145 zatvorenika uz povećanja iznosa zbog stalnog povećanja cijena roba i usluga na tržištu. </w:t>
      </w:r>
      <w:r w:rsidRPr="00C41928">
        <w:rPr>
          <w:szCs w:val="22"/>
          <w:lang w:val="hr-HR"/>
        </w:rPr>
        <w:t xml:space="preserve"> </w:t>
      </w:r>
    </w:p>
    <w:p w14:paraId="2779102E" w14:textId="77777777" w:rsidR="00580D69" w:rsidRPr="00C41928" w:rsidRDefault="00580D69" w:rsidP="00580D69">
      <w:pPr>
        <w:spacing w:after="0"/>
        <w:rPr>
          <w:szCs w:val="22"/>
          <w:lang w:val="hr-HR"/>
        </w:rPr>
      </w:pPr>
    </w:p>
    <w:p w14:paraId="6A6E8D33" w14:textId="62107394" w:rsidR="00580D69" w:rsidRPr="00FC3DCC" w:rsidRDefault="00580D69" w:rsidP="00580D69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34 Financijski rashodi </w:t>
      </w:r>
      <w:r>
        <w:rPr>
          <w:b/>
          <w:szCs w:val="22"/>
          <w:lang w:val="hr-HR"/>
        </w:rPr>
        <w:t xml:space="preserve">– </w:t>
      </w:r>
      <w:r>
        <w:rPr>
          <w:szCs w:val="22"/>
          <w:lang w:val="hr-HR"/>
        </w:rPr>
        <w:t>Planirani su na temelju dosadašnjih kretanja cijena bankarskih usluga i usluga platnog prometa u iznosu od 1</w:t>
      </w:r>
      <w:r w:rsidR="007E095F">
        <w:rPr>
          <w:szCs w:val="22"/>
          <w:lang w:val="hr-HR"/>
        </w:rPr>
        <w:t>.</w:t>
      </w:r>
      <w:r w:rsidR="00093516">
        <w:rPr>
          <w:szCs w:val="22"/>
          <w:lang w:val="hr-HR"/>
        </w:rPr>
        <w:t>5</w:t>
      </w:r>
      <w:r>
        <w:rPr>
          <w:szCs w:val="22"/>
          <w:lang w:val="hr-HR"/>
        </w:rPr>
        <w:t>00,00 €.</w:t>
      </w:r>
    </w:p>
    <w:p w14:paraId="2E2BCB39" w14:textId="77777777" w:rsidR="00580D69" w:rsidRPr="00C41928" w:rsidRDefault="00580D69" w:rsidP="00580D69">
      <w:pPr>
        <w:spacing w:after="0"/>
        <w:rPr>
          <w:szCs w:val="22"/>
          <w:lang w:val="hr-HR"/>
        </w:rPr>
      </w:pPr>
    </w:p>
    <w:p w14:paraId="6120208C" w14:textId="1AD107D2" w:rsidR="00580D69" w:rsidRPr="001C051D" w:rsidRDefault="00580D69" w:rsidP="00580D69">
      <w:pPr>
        <w:spacing w:after="0"/>
        <w:rPr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  <w:r w:rsidRPr="00C41928">
        <w:rPr>
          <w:szCs w:val="22"/>
          <w:lang w:val="hr-HR"/>
        </w:rPr>
        <w:t xml:space="preserve"> </w:t>
      </w:r>
      <w:r>
        <w:rPr>
          <w:szCs w:val="22"/>
          <w:lang w:val="hr-HR"/>
        </w:rPr>
        <w:t>–</w:t>
      </w:r>
      <w:r w:rsidRPr="00C41928">
        <w:rPr>
          <w:szCs w:val="22"/>
          <w:lang w:val="hr-HR"/>
        </w:rPr>
        <w:t xml:space="preserve"> </w:t>
      </w:r>
      <w:r w:rsidR="00093516">
        <w:rPr>
          <w:szCs w:val="22"/>
          <w:lang w:val="hr-HR"/>
        </w:rPr>
        <w:t xml:space="preserve">Planirani su u iznosu 2.013.400,00. Za izgradnju nove zgrade Zatvora planirano je 2.000.000,00 </w:t>
      </w:r>
      <w:proofErr w:type="spellStart"/>
      <w:r w:rsidR="00093516">
        <w:rPr>
          <w:szCs w:val="22"/>
          <w:lang w:val="hr-HR"/>
        </w:rPr>
        <w:t>eur</w:t>
      </w:r>
      <w:proofErr w:type="spellEnd"/>
      <w:r w:rsidR="00093516">
        <w:rPr>
          <w:szCs w:val="22"/>
          <w:lang w:val="hr-HR"/>
        </w:rPr>
        <w:t xml:space="preserve">. </w:t>
      </w:r>
      <w:r>
        <w:rPr>
          <w:szCs w:val="22"/>
          <w:lang w:val="hr-HR"/>
        </w:rPr>
        <w:t xml:space="preserve">Uzimajući u obzir povećani broj zatvorenika, vijek trajanja pojedine opreme i uređaja neophodnih za nesmetano funkcioniranje sustava planiran je iznos od </w:t>
      </w:r>
      <w:r w:rsidR="00093516">
        <w:rPr>
          <w:szCs w:val="22"/>
          <w:lang w:val="hr-HR"/>
        </w:rPr>
        <w:t>13.4</w:t>
      </w:r>
      <w:r>
        <w:rPr>
          <w:szCs w:val="22"/>
          <w:lang w:val="hr-HR"/>
        </w:rPr>
        <w:t>00,00 €. Iz navedenog iznosa planira se</w:t>
      </w:r>
      <w:r w:rsidR="007216FC">
        <w:rPr>
          <w:szCs w:val="22"/>
          <w:lang w:val="hr-HR"/>
        </w:rPr>
        <w:t xml:space="preserve"> uložiti na nabavu nove opreme i</w:t>
      </w:r>
      <w:r>
        <w:rPr>
          <w:szCs w:val="22"/>
          <w:lang w:val="hr-HR"/>
        </w:rPr>
        <w:t xml:space="preserve"> uređaja.</w:t>
      </w:r>
    </w:p>
    <w:p w14:paraId="288D88B5" w14:textId="77777777" w:rsidR="00580D69" w:rsidRPr="00C41928" w:rsidRDefault="00580D69" w:rsidP="00580D69">
      <w:pPr>
        <w:spacing w:after="0"/>
        <w:rPr>
          <w:b/>
          <w:szCs w:val="22"/>
          <w:lang w:val="hr-HR"/>
        </w:rPr>
      </w:pPr>
    </w:p>
    <w:p w14:paraId="58C2462B" w14:textId="77777777" w:rsidR="00580D69" w:rsidRDefault="00580D69" w:rsidP="00580D69">
      <w:pPr>
        <w:spacing w:after="0"/>
        <w:rPr>
          <w:b/>
          <w:szCs w:val="22"/>
          <w:lang w:val="hr-HR"/>
        </w:rPr>
      </w:pPr>
    </w:p>
    <w:p w14:paraId="300AC53A" w14:textId="72B0BA48" w:rsidR="00580D69" w:rsidRDefault="00580D69" w:rsidP="00580D69">
      <w:pPr>
        <w:spacing w:after="0"/>
        <w:rPr>
          <w:szCs w:val="22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 w:rsidRPr="00C41928">
        <w:rPr>
          <w:szCs w:val="22"/>
        </w:rPr>
        <w:t xml:space="preserve"> </w:t>
      </w:r>
      <w:r>
        <w:rPr>
          <w:szCs w:val="22"/>
        </w:rPr>
        <w:t>–</w:t>
      </w:r>
      <w:r w:rsidRPr="00C41928">
        <w:rPr>
          <w:szCs w:val="22"/>
        </w:rPr>
        <w:t xml:space="preserve"> </w:t>
      </w:r>
      <w:r>
        <w:rPr>
          <w:szCs w:val="22"/>
        </w:rPr>
        <w:t>Planirani iznos ulaganja u 202</w:t>
      </w:r>
      <w:r w:rsidR="00A2768C">
        <w:rPr>
          <w:szCs w:val="22"/>
        </w:rPr>
        <w:t>7</w:t>
      </w:r>
      <w:r>
        <w:rPr>
          <w:szCs w:val="22"/>
        </w:rPr>
        <w:t>. godini je 20</w:t>
      </w:r>
      <w:r w:rsidR="00093516">
        <w:rPr>
          <w:szCs w:val="22"/>
        </w:rPr>
        <w:t>2</w:t>
      </w:r>
      <w:r>
        <w:rPr>
          <w:szCs w:val="22"/>
        </w:rPr>
        <w:t>.000,00 € (rekonstrukcija vodovodne i odvodne mreže u sobama zatvorenika</w:t>
      </w:r>
      <w:r w:rsidR="00093516">
        <w:rPr>
          <w:szCs w:val="22"/>
        </w:rPr>
        <w:t>, adaptacija vanjskog zida oko zgrade Zatvora</w:t>
      </w:r>
      <w:r>
        <w:rPr>
          <w:szCs w:val="22"/>
        </w:rPr>
        <w:t>).</w:t>
      </w:r>
    </w:p>
    <w:p w14:paraId="283D013D" w14:textId="77777777" w:rsidR="00580D69" w:rsidRDefault="00580D69" w:rsidP="00580D69">
      <w:pPr>
        <w:spacing w:after="0"/>
        <w:rPr>
          <w:b/>
          <w:szCs w:val="22"/>
          <w:lang w:val="hr-HR"/>
        </w:rPr>
      </w:pPr>
    </w:p>
    <w:p w14:paraId="4765395B" w14:textId="77777777" w:rsidR="00580D69" w:rsidRDefault="00580D69" w:rsidP="00580D69">
      <w:pPr>
        <w:spacing w:after="0"/>
        <w:rPr>
          <w:szCs w:val="22"/>
        </w:rPr>
      </w:pPr>
    </w:p>
    <w:p w14:paraId="78750F7C" w14:textId="77777777" w:rsidR="00580D69" w:rsidRDefault="00580D69" w:rsidP="001A1BA9">
      <w:pPr>
        <w:spacing w:after="0"/>
        <w:rPr>
          <w:szCs w:val="22"/>
        </w:rPr>
      </w:pPr>
    </w:p>
    <w:p w14:paraId="371B2610" w14:textId="77777777" w:rsidR="001A1BA9" w:rsidRDefault="001A1BA9" w:rsidP="001A1BA9">
      <w:pPr>
        <w:spacing w:after="0"/>
        <w:rPr>
          <w:b/>
          <w:szCs w:val="22"/>
          <w:lang w:val="hr-HR"/>
        </w:rPr>
      </w:pPr>
    </w:p>
    <w:p w14:paraId="203922A6" w14:textId="77777777" w:rsidR="001A1BA9" w:rsidRDefault="001A1BA9" w:rsidP="002F26AE">
      <w:pPr>
        <w:spacing w:after="0"/>
        <w:rPr>
          <w:szCs w:val="22"/>
        </w:rPr>
      </w:pPr>
    </w:p>
    <w:p w14:paraId="252F7A5F" w14:textId="41EA64B8" w:rsidR="006F1566" w:rsidRDefault="006F1566" w:rsidP="006F1566">
      <w:pPr>
        <w:rPr>
          <w:szCs w:val="22"/>
        </w:rPr>
      </w:pPr>
    </w:p>
    <w:p w14:paraId="5826C660" w14:textId="6295416A" w:rsidR="00125EF9" w:rsidRDefault="00125EF9" w:rsidP="006F1566">
      <w:pPr>
        <w:rPr>
          <w:szCs w:val="22"/>
        </w:rPr>
      </w:pPr>
    </w:p>
    <w:p w14:paraId="12FB78F8" w14:textId="545C866D" w:rsidR="00125EF9" w:rsidRDefault="00125EF9" w:rsidP="006F1566">
      <w:pPr>
        <w:rPr>
          <w:szCs w:val="22"/>
        </w:rPr>
      </w:pPr>
    </w:p>
    <w:p w14:paraId="7C9DF69C" w14:textId="530AB7E8" w:rsidR="00125EF9" w:rsidRDefault="00125EF9" w:rsidP="006F1566">
      <w:pPr>
        <w:rPr>
          <w:szCs w:val="22"/>
        </w:rPr>
      </w:pPr>
    </w:p>
    <w:p w14:paraId="5D3E1539" w14:textId="77777777" w:rsidR="00125EF9" w:rsidRPr="00C41928" w:rsidRDefault="00125EF9" w:rsidP="006F1566">
      <w:pPr>
        <w:rPr>
          <w:szCs w:val="22"/>
        </w:rPr>
      </w:pPr>
    </w:p>
    <w:p w14:paraId="756B9DC2" w14:textId="77777777" w:rsidR="006B30D5" w:rsidRDefault="006B30D5" w:rsidP="006F1566">
      <w:pPr>
        <w:rPr>
          <w:b/>
          <w:bCs/>
          <w:sz w:val="24"/>
          <w:szCs w:val="24"/>
        </w:rPr>
      </w:pPr>
    </w:p>
    <w:p w14:paraId="7CB41449" w14:textId="77777777" w:rsidR="006B30D5" w:rsidRDefault="006B30D5" w:rsidP="006F1566">
      <w:pPr>
        <w:rPr>
          <w:b/>
          <w:bCs/>
          <w:sz w:val="24"/>
          <w:szCs w:val="24"/>
        </w:rPr>
      </w:pPr>
    </w:p>
    <w:p w14:paraId="7CA75A74" w14:textId="3C9008F3" w:rsidR="006F1566" w:rsidRPr="00F0265C" w:rsidRDefault="006F1566" w:rsidP="006F1566">
      <w:pPr>
        <w:rPr>
          <w:b/>
          <w:bCs/>
          <w:sz w:val="24"/>
          <w:szCs w:val="24"/>
        </w:rPr>
      </w:pPr>
      <w:r w:rsidRPr="00F0265C">
        <w:rPr>
          <w:b/>
          <w:bCs/>
          <w:sz w:val="24"/>
          <w:szCs w:val="24"/>
        </w:rPr>
        <w:lastRenderedPageBreak/>
        <w:t>A630113 IZVRŠAVANJE KAZNE ZATVORA, MJERE PRITVORA I ODGOJNE MJERE (IZ EVIDENCIJSKIH PRIHODA)</w:t>
      </w:r>
    </w:p>
    <w:p w14:paraId="7685F828" w14:textId="0C8E0654" w:rsidR="006F1566" w:rsidRPr="00C41928" w:rsidRDefault="006F1566" w:rsidP="006F1566">
      <w:pPr>
        <w:rPr>
          <w:szCs w:val="22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45"/>
        <w:gridCol w:w="1545"/>
        <w:gridCol w:w="1545"/>
        <w:gridCol w:w="1056"/>
      </w:tblGrid>
      <w:tr w:rsidR="00AF626C" w:rsidRPr="00C41928" w14:paraId="3F75000B" w14:textId="77777777" w:rsidTr="006F1566">
        <w:trPr>
          <w:jc w:val="center"/>
        </w:trPr>
        <w:tc>
          <w:tcPr>
            <w:tcW w:w="1460" w:type="dxa"/>
            <w:shd w:val="clear" w:color="auto" w:fill="B5C0D8"/>
          </w:tcPr>
          <w:p w14:paraId="35624460" w14:textId="77777777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14:paraId="15E5D48B" w14:textId="62063B26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093516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14:paraId="2D179EC8" w14:textId="481C906C" w:rsidR="00AF626C" w:rsidRPr="00C41928" w:rsidRDefault="00AF626C" w:rsidP="00093516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093516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7E3320AA" w14:textId="00F6220C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093516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0A791AF0" w14:textId="6BCE221D" w:rsidR="00AF626C" w:rsidRPr="00C41928" w:rsidRDefault="00AF626C" w:rsidP="00093516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093516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630B225B" w14:textId="16B524A9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093516"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3D31ED9A" w14:textId="533A81BC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093516">
              <w:rPr>
                <w:rFonts w:cs="Times New Roman"/>
                <w:sz w:val="22"/>
              </w:rPr>
              <w:t>6</w:t>
            </w:r>
            <w:r w:rsidRPr="00C41928">
              <w:rPr>
                <w:rFonts w:cs="Times New Roman"/>
                <w:sz w:val="22"/>
              </w:rPr>
              <w:t>/202</w:t>
            </w:r>
            <w:r w:rsidR="00093516">
              <w:rPr>
                <w:rFonts w:cs="Times New Roman"/>
                <w:sz w:val="22"/>
              </w:rPr>
              <w:t>5</w:t>
            </w:r>
          </w:p>
        </w:tc>
      </w:tr>
      <w:tr w:rsidR="006F1566" w:rsidRPr="00C41928" w14:paraId="3695D708" w14:textId="77777777" w:rsidTr="006F1566">
        <w:trPr>
          <w:jc w:val="center"/>
        </w:trPr>
        <w:tc>
          <w:tcPr>
            <w:tcW w:w="1460" w:type="dxa"/>
            <w:vAlign w:val="top"/>
          </w:tcPr>
          <w:p w14:paraId="068F6A56" w14:textId="68C430F3" w:rsidR="006F1566" w:rsidRPr="00C41928" w:rsidRDefault="006F1566" w:rsidP="00F66F5D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A630113</w:t>
            </w:r>
          </w:p>
        </w:tc>
        <w:tc>
          <w:tcPr>
            <w:tcW w:w="1544" w:type="dxa"/>
            <w:vAlign w:val="top"/>
          </w:tcPr>
          <w:p w14:paraId="46EF0B88" w14:textId="75A9B68A" w:rsidR="006F1566" w:rsidRPr="00C41928" w:rsidRDefault="00093516" w:rsidP="00FB29C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19.706,20</w:t>
            </w:r>
          </w:p>
        </w:tc>
        <w:tc>
          <w:tcPr>
            <w:tcW w:w="1511" w:type="dxa"/>
            <w:vAlign w:val="top"/>
          </w:tcPr>
          <w:p w14:paraId="5B9A3347" w14:textId="421F117D" w:rsidR="006F1566" w:rsidRPr="00C41928" w:rsidRDefault="005B005E" w:rsidP="00465F6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26.200</w:t>
            </w:r>
            <w:r w:rsidR="002F0E70">
              <w:rPr>
                <w:sz w:val="22"/>
                <w:szCs w:val="22"/>
              </w:rPr>
              <w:t>,00</w:t>
            </w:r>
          </w:p>
        </w:tc>
        <w:tc>
          <w:tcPr>
            <w:tcW w:w="1545" w:type="dxa"/>
            <w:vAlign w:val="top"/>
          </w:tcPr>
          <w:p w14:paraId="45AE0096" w14:textId="757FB17D" w:rsidR="006F1566" w:rsidRPr="00C41928" w:rsidRDefault="0038065B" w:rsidP="002F0E7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0E70">
              <w:rPr>
                <w:sz w:val="22"/>
                <w:szCs w:val="22"/>
              </w:rPr>
              <w:t>2</w:t>
            </w:r>
            <w:r w:rsidR="0085020F">
              <w:rPr>
                <w:sz w:val="22"/>
                <w:szCs w:val="22"/>
              </w:rPr>
              <w:t>.</w:t>
            </w:r>
            <w:r w:rsidR="002F0E70">
              <w:rPr>
                <w:sz w:val="22"/>
                <w:szCs w:val="22"/>
              </w:rPr>
              <w:t>6</w:t>
            </w:r>
            <w:r w:rsidR="0085020F">
              <w:rPr>
                <w:sz w:val="22"/>
                <w:szCs w:val="22"/>
              </w:rPr>
              <w:t>00,00</w:t>
            </w:r>
          </w:p>
        </w:tc>
        <w:tc>
          <w:tcPr>
            <w:tcW w:w="1545" w:type="dxa"/>
            <w:vAlign w:val="top"/>
          </w:tcPr>
          <w:p w14:paraId="3F595382" w14:textId="117B5785" w:rsidR="006F1566" w:rsidRPr="00C41928" w:rsidRDefault="0085020F" w:rsidP="002F0E7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0E7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2F0E7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545" w:type="dxa"/>
            <w:vAlign w:val="top"/>
          </w:tcPr>
          <w:p w14:paraId="60E573F9" w14:textId="2984350F" w:rsidR="006F1566" w:rsidRPr="00C41928" w:rsidRDefault="0085020F" w:rsidP="002F0E7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0E70">
              <w:rPr>
                <w:sz w:val="22"/>
                <w:szCs w:val="22"/>
              </w:rPr>
              <w:t>2</w:t>
            </w:r>
            <w:r w:rsidR="0038065B">
              <w:rPr>
                <w:sz w:val="22"/>
                <w:szCs w:val="22"/>
              </w:rPr>
              <w:t>.</w:t>
            </w:r>
            <w:r w:rsidR="002F0E7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056" w:type="dxa"/>
            <w:vAlign w:val="top"/>
          </w:tcPr>
          <w:p w14:paraId="5D9EF7D0" w14:textId="28423627" w:rsidR="006F1566" w:rsidRPr="00C41928" w:rsidRDefault="002F0E70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86,26</w:t>
            </w:r>
          </w:p>
        </w:tc>
      </w:tr>
    </w:tbl>
    <w:p w14:paraId="64A60733" w14:textId="0FA796E5" w:rsidR="006F1566" w:rsidRDefault="006F1566" w:rsidP="006F1566">
      <w:pPr>
        <w:rPr>
          <w:szCs w:val="22"/>
        </w:rPr>
      </w:pPr>
    </w:p>
    <w:p w14:paraId="51CC6836" w14:textId="75F23341" w:rsidR="00974252" w:rsidRDefault="00974252" w:rsidP="00974252">
      <w:pPr>
        <w:rPr>
          <w:szCs w:val="22"/>
        </w:rPr>
      </w:pPr>
      <w:r>
        <w:rPr>
          <w:szCs w:val="22"/>
        </w:rPr>
        <w:t xml:space="preserve">Prihodi koji se u riznici iskazuju evidencijski  koriste se za podmirivanje materijalnih rashoda poslovanja i poboljšanje uvjeta života u Zatvoru u Požegi. </w:t>
      </w:r>
    </w:p>
    <w:p w14:paraId="4A8251B1" w14:textId="77777777" w:rsidR="00974252" w:rsidRDefault="00974252" w:rsidP="00974252">
      <w:pPr>
        <w:rPr>
          <w:szCs w:val="22"/>
        </w:rPr>
      </w:pPr>
    </w:p>
    <w:p w14:paraId="29C6C718" w14:textId="640495B2" w:rsidR="00974252" w:rsidRPr="003007F4" w:rsidRDefault="00974252" w:rsidP="00974252">
      <w:pPr>
        <w:rPr>
          <w:b/>
          <w:szCs w:val="22"/>
          <w:u w:val="single"/>
        </w:rPr>
      </w:pPr>
      <w:r w:rsidRPr="003007F4">
        <w:rPr>
          <w:b/>
          <w:szCs w:val="22"/>
          <w:u w:val="single"/>
        </w:rPr>
        <w:t>Izvor 31</w:t>
      </w:r>
      <w:r w:rsidR="00BE413A">
        <w:rPr>
          <w:b/>
          <w:szCs w:val="22"/>
          <w:u w:val="single"/>
        </w:rPr>
        <w:t xml:space="preserve"> – 2026</w:t>
      </w:r>
      <w:r w:rsidRPr="003007F4">
        <w:rPr>
          <w:b/>
          <w:szCs w:val="22"/>
          <w:u w:val="single"/>
        </w:rPr>
        <w:t>. godina</w:t>
      </w:r>
    </w:p>
    <w:p w14:paraId="6134B0FA" w14:textId="34FF2675" w:rsidR="001B3D1A" w:rsidRPr="00C16228" w:rsidRDefault="00974252" w:rsidP="001B3D1A">
      <w:pPr>
        <w:spacing w:after="0"/>
        <w:rPr>
          <w:bCs/>
          <w:sz w:val="24"/>
          <w:szCs w:val="24"/>
        </w:rPr>
      </w:pPr>
      <w:r>
        <w:rPr>
          <w:iCs/>
          <w:szCs w:val="22"/>
        </w:rPr>
        <w:t>Planirana sredstva za 202</w:t>
      </w:r>
      <w:r w:rsidR="00EF443D">
        <w:rPr>
          <w:iCs/>
          <w:szCs w:val="22"/>
        </w:rPr>
        <w:t>6</w:t>
      </w:r>
      <w:r w:rsidRPr="003B5B93">
        <w:rPr>
          <w:iCs/>
          <w:szCs w:val="22"/>
        </w:rPr>
        <w:t xml:space="preserve">. godinu </w:t>
      </w:r>
      <w:r w:rsidR="0038065B">
        <w:rPr>
          <w:iCs/>
          <w:szCs w:val="22"/>
        </w:rPr>
        <w:t>iznose 2</w:t>
      </w:r>
      <w:r w:rsidR="00BE413A">
        <w:rPr>
          <w:iCs/>
          <w:szCs w:val="22"/>
        </w:rPr>
        <w:t>2</w:t>
      </w:r>
      <w:r w:rsidRPr="003B5B93">
        <w:rPr>
          <w:iCs/>
          <w:szCs w:val="22"/>
        </w:rPr>
        <w:t>.</w:t>
      </w:r>
      <w:r w:rsidR="00BE413A">
        <w:rPr>
          <w:iCs/>
          <w:szCs w:val="22"/>
        </w:rPr>
        <w:t>6</w:t>
      </w:r>
      <w:r w:rsidRPr="003B5B93">
        <w:rPr>
          <w:iCs/>
          <w:szCs w:val="22"/>
        </w:rPr>
        <w:t xml:space="preserve">00,00 € i </w:t>
      </w:r>
      <w:r w:rsidR="0021408A" w:rsidRPr="003B5B93">
        <w:rPr>
          <w:iCs/>
          <w:szCs w:val="22"/>
        </w:rPr>
        <w:t>namijenjena su za pokriće rashoda vezanih uz obavljanje vlastite dje</w:t>
      </w:r>
      <w:r w:rsidR="0021408A">
        <w:rPr>
          <w:iCs/>
          <w:szCs w:val="22"/>
        </w:rPr>
        <w:t xml:space="preserve">latnosti </w:t>
      </w:r>
      <w:r w:rsidR="0021408A" w:rsidRPr="003B5B93">
        <w:rPr>
          <w:iCs/>
          <w:szCs w:val="22"/>
        </w:rPr>
        <w:t xml:space="preserve"> i za poboljšanje uvjeta za rad zatvorenika. </w:t>
      </w:r>
      <w:r w:rsidR="000460D8" w:rsidRPr="003B5B93">
        <w:rPr>
          <w:iCs/>
          <w:szCs w:val="22"/>
        </w:rPr>
        <w:t xml:space="preserve">Plan rashoda </w:t>
      </w:r>
      <w:r w:rsidR="000460D8">
        <w:rPr>
          <w:iCs/>
          <w:szCs w:val="22"/>
        </w:rPr>
        <w:t>smanjen je zbog manjeg broja radno angažiranih zatvorenika što uzrokuje postojeća struktura zatvorenika u zatvoru (gotovo većina zatvorenika su istražni zatvorenici, veliki broj stranaca koji ne znaju jezik). Planiranim sredstvima podmirivati će se</w:t>
      </w:r>
      <w:r w:rsidR="001B3D1A">
        <w:rPr>
          <w:iCs/>
          <w:szCs w:val="22"/>
        </w:rPr>
        <w:t xml:space="preserve"> </w:t>
      </w:r>
      <w:r w:rsidR="001B3D1A">
        <w:rPr>
          <w:bCs/>
          <w:sz w:val="24"/>
          <w:szCs w:val="24"/>
        </w:rPr>
        <w:t>rashodi</w:t>
      </w:r>
      <w:r w:rsidR="001B3D1A" w:rsidRPr="00C16228">
        <w:rPr>
          <w:bCs/>
          <w:sz w:val="24"/>
          <w:szCs w:val="24"/>
        </w:rPr>
        <w:t xml:space="preserve"> za materijal i dijelove za tekuće i investicijsko održavanje, naknade za rad zatvorenika</w:t>
      </w:r>
      <w:r w:rsidR="001B3D1A">
        <w:rPr>
          <w:bCs/>
          <w:sz w:val="24"/>
          <w:szCs w:val="24"/>
        </w:rPr>
        <w:t>, intelektualne i osobne usluge (ugovor o djelu),  rashodi</w:t>
      </w:r>
      <w:r w:rsidR="001B3D1A" w:rsidRPr="00C16228">
        <w:rPr>
          <w:bCs/>
          <w:sz w:val="24"/>
          <w:szCs w:val="24"/>
        </w:rPr>
        <w:t xml:space="preserve"> za nabavu</w:t>
      </w:r>
      <w:r w:rsidR="001B3D1A">
        <w:rPr>
          <w:bCs/>
          <w:sz w:val="24"/>
          <w:szCs w:val="24"/>
        </w:rPr>
        <w:t xml:space="preserve"> dugotrajne imovine, te dodatna ulaganja na građevinskim objektima</w:t>
      </w:r>
      <w:r w:rsidR="00027F63">
        <w:rPr>
          <w:bCs/>
          <w:sz w:val="24"/>
          <w:szCs w:val="24"/>
        </w:rPr>
        <w:t>,</w:t>
      </w:r>
      <w:r w:rsidR="001B3D1A">
        <w:rPr>
          <w:bCs/>
          <w:sz w:val="24"/>
          <w:szCs w:val="24"/>
        </w:rPr>
        <w:t xml:space="preserve"> a sve u svrhu poboljšalja života i rada zatvorenika u zatvorskim uvjetima.</w:t>
      </w:r>
    </w:p>
    <w:p w14:paraId="6721D2D6" w14:textId="0277F425" w:rsidR="00974252" w:rsidRDefault="000460D8" w:rsidP="00974252">
      <w:pPr>
        <w:rPr>
          <w:iCs/>
          <w:szCs w:val="22"/>
        </w:rPr>
      </w:pPr>
      <w:r>
        <w:rPr>
          <w:iCs/>
          <w:szCs w:val="22"/>
        </w:rPr>
        <w:t xml:space="preserve"> </w:t>
      </w:r>
    </w:p>
    <w:p w14:paraId="17A247CB" w14:textId="63823B88" w:rsidR="00974252" w:rsidRPr="003007F4" w:rsidRDefault="00BE413A" w:rsidP="00974252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Izvor 31 – 2027</w:t>
      </w:r>
      <w:r w:rsidR="00974252" w:rsidRPr="003007F4">
        <w:rPr>
          <w:b/>
          <w:szCs w:val="22"/>
          <w:u w:val="single"/>
        </w:rPr>
        <w:t>. godina</w:t>
      </w:r>
    </w:p>
    <w:p w14:paraId="0571D46C" w14:textId="49ED95DA" w:rsidR="001B3D1A" w:rsidRPr="00C16228" w:rsidRDefault="00974252" w:rsidP="001B3D1A">
      <w:pPr>
        <w:spacing w:after="0"/>
        <w:rPr>
          <w:bCs/>
          <w:sz w:val="24"/>
          <w:szCs w:val="24"/>
        </w:rPr>
      </w:pPr>
      <w:r w:rsidRPr="003B5B93">
        <w:rPr>
          <w:iCs/>
          <w:szCs w:val="22"/>
        </w:rPr>
        <w:t>Planirana sredstva za 202</w:t>
      </w:r>
      <w:r w:rsidR="00EF443D">
        <w:rPr>
          <w:iCs/>
          <w:szCs w:val="22"/>
        </w:rPr>
        <w:t>7</w:t>
      </w:r>
      <w:r w:rsidRPr="003B5B93">
        <w:rPr>
          <w:iCs/>
          <w:szCs w:val="22"/>
        </w:rPr>
        <w:t>. godinu iznose 2</w:t>
      </w:r>
      <w:r w:rsidR="00BE413A">
        <w:rPr>
          <w:iCs/>
          <w:szCs w:val="22"/>
        </w:rPr>
        <w:t>2</w:t>
      </w:r>
      <w:r w:rsidRPr="003B5B93">
        <w:rPr>
          <w:iCs/>
          <w:szCs w:val="22"/>
        </w:rPr>
        <w:t>.</w:t>
      </w:r>
      <w:r w:rsidR="00BE413A">
        <w:rPr>
          <w:iCs/>
          <w:szCs w:val="22"/>
        </w:rPr>
        <w:t>6</w:t>
      </w:r>
      <w:r w:rsidRPr="003B5B93">
        <w:rPr>
          <w:iCs/>
          <w:szCs w:val="22"/>
        </w:rPr>
        <w:t>00,00 € i namijenjena su za pokriće rashoda vezanih uz obavljanje vlastite dje</w:t>
      </w:r>
      <w:r>
        <w:rPr>
          <w:iCs/>
          <w:szCs w:val="22"/>
        </w:rPr>
        <w:t xml:space="preserve">latnosti </w:t>
      </w:r>
      <w:r w:rsidRPr="003B5B93">
        <w:rPr>
          <w:iCs/>
          <w:szCs w:val="22"/>
        </w:rPr>
        <w:t xml:space="preserve"> i za poboljšanje uvjeta za rad zatvorenika. </w:t>
      </w:r>
      <w:r w:rsidR="000456D3" w:rsidRPr="003B5B93">
        <w:rPr>
          <w:iCs/>
          <w:szCs w:val="22"/>
        </w:rPr>
        <w:t xml:space="preserve">Plan rashoda </w:t>
      </w:r>
      <w:r w:rsidR="000456D3">
        <w:rPr>
          <w:iCs/>
          <w:szCs w:val="22"/>
        </w:rPr>
        <w:t xml:space="preserve">smanjen je zbog manjeg broja radno angažiranih zatvorenika što uzrokuje postojeća struktura zatvorenika u zatvoru </w:t>
      </w:r>
      <w:r w:rsidR="000460D8">
        <w:rPr>
          <w:iCs/>
          <w:szCs w:val="22"/>
        </w:rPr>
        <w:t>(gotovo većina zatvorenika su istražni zatvorenici, veliki broj stranaca koji ne znaju jezik</w:t>
      </w:r>
      <w:r w:rsidR="000456D3">
        <w:rPr>
          <w:iCs/>
          <w:szCs w:val="22"/>
        </w:rPr>
        <w:t xml:space="preserve">). </w:t>
      </w:r>
      <w:r w:rsidR="001B3D1A">
        <w:rPr>
          <w:iCs/>
          <w:szCs w:val="22"/>
        </w:rPr>
        <w:t xml:space="preserve">Planiranim sredstvima podmirivati će se </w:t>
      </w:r>
      <w:r w:rsidR="001B3D1A">
        <w:rPr>
          <w:bCs/>
          <w:sz w:val="24"/>
          <w:szCs w:val="24"/>
        </w:rPr>
        <w:t>rashodi</w:t>
      </w:r>
      <w:r w:rsidR="001B3D1A" w:rsidRPr="00C16228">
        <w:rPr>
          <w:bCs/>
          <w:sz w:val="24"/>
          <w:szCs w:val="24"/>
        </w:rPr>
        <w:t xml:space="preserve"> za materijal i dijelove za tekuće i investicijsko održavanje, naknade za rad zatvorenika</w:t>
      </w:r>
      <w:r w:rsidR="001B3D1A">
        <w:rPr>
          <w:bCs/>
          <w:sz w:val="24"/>
          <w:szCs w:val="24"/>
        </w:rPr>
        <w:t>, intelektualne i osobne usluge (ugovor o djelu),  rashodi</w:t>
      </w:r>
      <w:r w:rsidR="001B3D1A" w:rsidRPr="00C16228">
        <w:rPr>
          <w:bCs/>
          <w:sz w:val="24"/>
          <w:szCs w:val="24"/>
        </w:rPr>
        <w:t xml:space="preserve"> za nabavu</w:t>
      </w:r>
      <w:r w:rsidR="001B3D1A">
        <w:rPr>
          <w:bCs/>
          <w:sz w:val="24"/>
          <w:szCs w:val="24"/>
        </w:rPr>
        <w:t xml:space="preserve"> dugotrajne imovine, te dodatna ulaganja na građevinskim objektima</w:t>
      </w:r>
      <w:r w:rsidR="00027F63">
        <w:rPr>
          <w:bCs/>
          <w:sz w:val="24"/>
          <w:szCs w:val="24"/>
        </w:rPr>
        <w:t>,</w:t>
      </w:r>
      <w:r w:rsidR="001B3D1A">
        <w:rPr>
          <w:bCs/>
          <w:sz w:val="24"/>
          <w:szCs w:val="24"/>
        </w:rPr>
        <w:t xml:space="preserve"> a sve u svrhu poboljšalja života i rada zatvorenika u zatvorskim uvjetima.</w:t>
      </w:r>
    </w:p>
    <w:p w14:paraId="47A8E760" w14:textId="019D2A71" w:rsidR="00974252" w:rsidRDefault="00974252" w:rsidP="00974252">
      <w:pPr>
        <w:rPr>
          <w:iCs/>
          <w:szCs w:val="22"/>
        </w:rPr>
      </w:pPr>
    </w:p>
    <w:p w14:paraId="35C1234B" w14:textId="52C77313" w:rsidR="00974252" w:rsidRPr="003007F4" w:rsidRDefault="00BE413A" w:rsidP="00974252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Izvor 31 – 2028</w:t>
      </w:r>
      <w:r w:rsidR="00974252" w:rsidRPr="003007F4">
        <w:rPr>
          <w:b/>
          <w:szCs w:val="22"/>
          <w:u w:val="single"/>
        </w:rPr>
        <w:t>. godina</w:t>
      </w:r>
    </w:p>
    <w:p w14:paraId="388EC2E0" w14:textId="5A42348B" w:rsidR="001B3D1A" w:rsidRPr="00C16228" w:rsidRDefault="00974252" w:rsidP="001B3D1A">
      <w:pPr>
        <w:spacing w:after="0"/>
        <w:rPr>
          <w:bCs/>
          <w:sz w:val="24"/>
          <w:szCs w:val="24"/>
        </w:rPr>
      </w:pPr>
      <w:r>
        <w:rPr>
          <w:iCs/>
          <w:szCs w:val="22"/>
        </w:rPr>
        <w:t>Planirana sredstva za 202</w:t>
      </w:r>
      <w:r w:rsidR="00EF443D">
        <w:rPr>
          <w:iCs/>
          <w:szCs w:val="22"/>
        </w:rPr>
        <w:t>8</w:t>
      </w:r>
      <w:r w:rsidR="0038065B">
        <w:rPr>
          <w:iCs/>
          <w:szCs w:val="22"/>
        </w:rPr>
        <w:t>. godinu iznose 2</w:t>
      </w:r>
      <w:r w:rsidR="00BE413A">
        <w:rPr>
          <w:iCs/>
          <w:szCs w:val="22"/>
        </w:rPr>
        <w:t>2</w:t>
      </w:r>
      <w:r w:rsidRPr="003B5B93">
        <w:rPr>
          <w:iCs/>
          <w:szCs w:val="22"/>
        </w:rPr>
        <w:t>.</w:t>
      </w:r>
      <w:r w:rsidR="00BE413A">
        <w:rPr>
          <w:iCs/>
          <w:szCs w:val="22"/>
        </w:rPr>
        <w:t>6</w:t>
      </w:r>
      <w:r w:rsidRPr="003B5B93">
        <w:rPr>
          <w:iCs/>
          <w:szCs w:val="22"/>
        </w:rPr>
        <w:t>00,00 € i namijenjena su za pokriće rashoda vezanih uz obavljanje vlastite dje</w:t>
      </w:r>
      <w:r>
        <w:rPr>
          <w:iCs/>
          <w:szCs w:val="22"/>
        </w:rPr>
        <w:t xml:space="preserve">latnosti </w:t>
      </w:r>
      <w:r w:rsidRPr="003B5B93">
        <w:rPr>
          <w:iCs/>
          <w:szCs w:val="22"/>
        </w:rPr>
        <w:t xml:space="preserve"> i za poboljšanje uvjeta za rad zatvorenika</w:t>
      </w:r>
      <w:r w:rsidR="000456D3">
        <w:rPr>
          <w:iCs/>
          <w:szCs w:val="22"/>
        </w:rPr>
        <w:t>.</w:t>
      </w:r>
      <w:r w:rsidR="000460D8">
        <w:rPr>
          <w:iCs/>
          <w:szCs w:val="22"/>
        </w:rPr>
        <w:t xml:space="preserve"> </w:t>
      </w:r>
      <w:r w:rsidR="000460D8" w:rsidRPr="003B5B93">
        <w:rPr>
          <w:iCs/>
          <w:szCs w:val="22"/>
        </w:rPr>
        <w:t xml:space="preserve">Plan rashoda </w:t>
      </w:r>
      <w:r w:rsidR="000460D8">
        <w:rPr>
          <w:iCs/>
          <w:szCs w:val="22"/>
        </w:rPr>
        <w:t xml:space="preserve">smanjen je zbog manjeg broja radno angažiranih zatvorenika što uzrokuje postojeća struktura zatvorenika u zatvoru (gotovo većina zatvorenika su istražni zatvorenici, veliki broj stranaca koji ne znaju jezik). </w:t>
      </w:r>
      <w:r w:rsidR="001B3D1A">
        <w:rPr>
          <w:iCs/>
          <w:szCs w:val="22"/>
        </w:rPr>
        <w:t xml:space="preserve">Planiranim sredstvima podmirivati će se </w:t>
      </w:r>
      <w:r w:rsidR="001B3D1A">
        <w:rPr>
          <w:bCs/>
          <w:sz w:val="24"/>
          <w:szCs w:val="24"/>
        </w:rPr>
        <w:t>rashodi</w:t>
      </w:r>
      <w:r w:rsidR="001B3D1A" w:rsidRPr="00C16228">
        <w:rPr>
          <w:bCs/>
          <w:sz w:val="24"/>
          <w:szCs w:val="24"/>
        </w:rPr>
        <w:t xml:space="preserve"> za materijal i dijelove za tekuće i investicijsko održavanje, naknade za rad zatvorenika</w:t>
      </w:r>
      <w:r w:rsidR="001B3D1A">
        <w:rPr>
          <w:bCs/>
          <w:sz w:val="24"/>
          <w:szCs w:val="24"/>
        </w:rPr>
        <w:t>, intelektualne i osobne usluge (ugovor o djelu),  rashodi</w:t>
      </w:r>
      <w:r w:rsidR="001B3D1A" w:rsidRPr="00C16228">
        <w:rPr>
          <w:bCs/>
          <w:sz w:val="24"/>
          <w:szCs w:val="24"/>
        </w:rPr>
        <w:t xml:space="preserve"> za nabavu</w:t>
      </w:r>
      <w:r w:rsidR="001B3D1A">
        <w:rPr>
          <w:bCs/>
          <w:sz w:val="24"/>
          <w:szCs w:val="24"/>
        </w:rPr>
        <w:t xml:space="preserve"> dugotrajne imovine, te dodatna ulaganja na građevinskim objektima</w:t>
      </w:r>
      <w:r w:rsidR="00027F63">
        <w:rPr>
          <w:bCs/>
          <w:sz w:val="24"/>
          <w:szCs w:val="24"/>
        </w:rPr>
        <w:t>,</w:t>
      </w:r>
      <w:r w:rsidR="001B3D1A">
        <w:rPr>
          <w:bCs/>
          <w:sz w:val="24"/>
          <w:szCs w:val="24"/>
        </w:rPr>
        <w:t xml:space="preserve"> a sve u svrhu poboljšalja života i rada zatvorenika u zatvorskim uvjetima.</w:t>
      </w:r>
    </w:p>
    <w:p w14:paraId="3756D0DB" w14:textId="7AEEDC85" w:rsidR="000456D3" w:rsidRDefault="000456D3" w:rsidP="000456D3">
      <w:pPr>
        <w:rPr>
          <w:iCs/>
          <w:szCs w:val="22"/>
        </w:rPr>
      </w:pPr>
    </w:p>
    <w:p w14:paraId="3F95784B" w14:textId="6A0E0806" w:rsidR="006F1566" w:rsidRDefault="006F1566" w:rsidP="006F1566">
      <w:pPr>
        <w:rPr>
          <w:iCs/>
          <w:szCs w:val="22"/>
        </w:rPr>
      </w:pPr>
    </w:p>
    <w:p w14:paraId="369993D8" w14:textId="3CC992CC" w:rsidR="00FB6304" w:rsidRDefault="00FB6304" w:rsidP="006F1566">
      <w:pPr>
        <w:rPr>
          <w:iCs/>
          <w:szCs w:val="22"/>
        </w:rPr>
      </w:pPr>
    </w:p>
    <w:p w14:paraId="1C1160F9" w14:textId="61C1E129" w:rsidR="00FB6304" w:rsidRDefault="00FB6304" w:rsidP="006F1566">
      <w:pPr>
        <w:rPr>
          <w:iCs/>
          <w:szCs w:val="22"/>
        </w:rPr>
      </w:pPr>
    </w:p>
    <w:p w14:paraId="65E7BE47" w14:textId="6593DE5E" w:rsidR="00FB6304" w:rsidRDefault="00FB6304" w:rsidP="006F1566">
      <w:pPr>
        <w:rPr>
          <w:iCs/>
          <w:szCs w:val="22"/>
        </w:rPr>
      </w:pPr>
      <w:r>
        <w:rPr>
          <w:iCs/>
          <w:szCs w:val="22"/>
        </w:rPr>
        <w:t xml:space="preserve">U Požegi, </w:t>
      </w:r>
      <w:r w:rsidR="00BE413A">
        <w:rPr>
          <w:iCs/>
          <w:szCs w:val="22"/>
        </w:rPr>
        <w:t>11</w:t>
      </w:r>
      <w:r w:rsidR="00F65ABA">
        <w:rPr>
          <w:iCs/>
          <w:szCs w:val="22"/>
        </w:rPr>
        <w:t>.</w:t>
      </w:r>
      <w:r w:rsidR="004A4AA0">
        <w:rPr>
          <w:iCs/>
          <w:szCs w:val="22"/>
        </w:rPr>
        <w:t xml:space="preserve">prosinca </w:t>
      </w:r>
      <w:r>
        <w:rPr>
          <w:iCs/>
          <w:szCs w:val="22"/>
        </w:rPr>
        <w:t>202</w:t>
      </w:r>
      <w:r w:rsidR="00BE413A">
        <w:rPr>
          <w:iCs/>
          <w:szCs w:val="22"/>
        </w:rPr>
        <w:t>5</w:t>
      </w:r>
      <w:r>
        <w:rPr>
          <w:iCs/>
          <w:szCs w:val="22"/>
        </w:rPr>
        <w:t>.                                                                           Upravitelj:</w:t>
      </w:r>
    </w:p>
    <w:p w14:paraId="513DC4EB" w14:textId="0CAB5EB9" w:rsidR="00FB6304" w:rsidRPr="00864896" w:rsidRDefault="00FB6304" w:rsidP="006F1566">
      <w:pPr>
        <w:rPr>
          <w:iCs/>
          <w:szCs w:val="22"/>
        </w:rPr>
      </w:pPr>
      <w:r>
        <w:rPr>
          <w:iCs/>
          <w:szCs w:val="22"/>
        </w:rPr>
        <w:t xml:space="preserve">                                                                                                        </w:t>
      </w:r>
      <w:r w:rsidR="007E4368">
        <w:rPr>
          <w:iCs/>
          <w:szCs w:val="22"/>
        </w:rPr>
        <w:t xml:space="preserve">           </w:t>
      </w:r>
      <w:r>
        <w:rPr>
          <w:iCs/>
          <w:szCs w:val="22"/>
        </w:rPr>
        <w:t xml:space="preserve">  Tomislav Ferenc</w:t>
      </w:r>
    </w:p>
    <w:sectPr w:rsidR="00FB6304" w:rsidRPr="00864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DA"/>
    <w:rsid w:val="000208AF"/>
    <w:rsid w:val="00023ED8"/>
    <w:rsid w:val="00025FA5"/>
    <w:rsid w:val="00027F63"/>
    <w:rsid w:val="000456D3"/>
    <w:rsid w:val="000460D8"/>
    <w:rsid w:val="00050851"/>
    <w:rsid w:val="00052C28"/>
    <w:rsid w:val="0005580C"/>
    <w:rsid w:val="00074C57"/>
    <w:rsid w:val="00082BE5"/>
    <w:rsid w:val="00093516"/>
    <w:rsid w:val="000A4D6A"/>
    <w:rsid w:val="000A6547"/>
    <w:rsid w:val="000B1CBD"/>
    <w:rsid w:val="000D3362"/>
    <w:rsid w:val="000D3C68"/>
    <w:rsid w:val="000E1309"/>
    <w:rsid w:val="000F7AF5"/>
    <w:rsid w:val="00102F7C"/>
    <w:rsid w:val="00105318"/>
    <w:rsid w:val="001145BE"/>
    <w:rsid w:val="001247E6"/>
    <w:rsid w:val="00125808"/>
    <w:rsid w:val="00125EF9"/>
    <w:rsid w:val="00127057"/>
    <w:rsid w:val="00131B6E"/>
    <w:rsid w:val="00173A8E"/>
    <w:rsid w:val="001A1BA9"/>
    <w:rsid w:val="001B3D1A"/>
    <w:rsid w:val="001C051D"/>
    <w:rsid w:val="001C06AC"/>
    <w:rsid w:val="001E76CC"/>
    <w:rsid w:val="001F456B"/>
    <w:rsid w:val="002021E2"/>
    <w:rsid w:val="00203744"/>
    <w:rsid w:val="00203EDE"/>
    <w:rsid w:val="0021408A"/>
    <w:rsid w:val="00245BD6"/>
    <w:rsid w:val="00246D08"/>
    <w:rsid w:val="002671F3"/>
    <w:rsid w:val="00282EFB"/>
    <w:rsid w:val="002A0A8D"/>
    <w:rsid w:val="002C2C31"/>
    <w:rsid w:val="002E1637"/>
    <w:rsid w:val="002E19EB"/>
    <w:rsid w:val="002E40C8"/>
    <w:rsid w:val="002F0E70"/>
    <w:rsid w:val="002F26AE"/>
    <w:rsid w:val="002F528E"/>
    <w:rsid w:val="003025EB"/>
    <w:rsid w:val="003352B2"/>
    <w:rsid w:val="0033760C"/>
    <w:rsid w:val="00361DF4"/>
    <w:rsid w:val="003666A2"/>
    <w:rsid w:val="0038065B"/>
    <w:rsid w:val="003903FA"/>
    <w:rsid w:val="00396AF0"/>
    <w:rsid w:val="003A1309"/>
    <w:rsid w:val="003E59CF"/>
    <w:rsid w:val="003E5E94"/>
    <w:rsid w:val="003E76DC"/>
    <w:rsid w:val="003F65D4"/>
    <w:rsid w:val="004031F6"/>
    <w:rsid w:val="00404425"/>
    <w:rsid w:val="00420ACA"/>
    <w:rsid w:val="00423984"/>
    <w:rsid w:val="00447C90"/>
    <w:rsid w:val="00465F6A"/>
    <w:rsid w:val="00485A1B"/>
    <w:rsid w:val="004A33A8"/>
    <w:rsid w:val="004A4AA0"/>
    <w:rsid w:val="004A5EAF"/>
    <w:rsid w:val="004B3431"/>
    <w:rsid w:val="004B3F93"/>
    <w:rsid w:val="004F017E"/>
    <w:rsid w:val="004F0CE3"/>
    <w:rsid w:val="004F597C"/>
    <w:rsid w:val="00520DCB"/>
    <w:rsid w:val="0053119B"/>
    <w:rsid w:val="005473BC"/>
    <w:rsid w:val="00562D8E"/>
    <w:rsid w:val="00562DEA"/>
    <w:rsid w:val="00564C43"/>
    <w:rsid w:val="00580D69"/>
    <w:rsid w:val="005A5210"/>
    <w:rsid w:val="005B005E"/>
    <w:rsid w:val="005C5F08"/>
    <w:rsid w:val="005D412F"/>
    <w:rsid w:val="005E7265"/>
    <w:rsid w:val="005F294D"/>
    <w:rsid w:val="005F7128"/>
    <w:rsid w:val="0061283E"/>
    <w:rsid w:val="00626790"/>
    <w:rsid w:val="00642B64"/>
    <w:rsid w:val="00682EA5"/>
    <w:rsid w:val="00685702"/>
    <w:rsid w:val="00691F1D"/>
    <w:rsid w:val="006A1AD2"/>
    <w:rsid w:val="006B30D5"/>
    <w:rsid w:val="006B3744"/>
    <w:rsid w:val="006D702A"/>
    <w:rsid w:val="006E2A15"/>
    <w:rsid w:val="006F1566"/>
    <w:rsid w:val="006F5BFA"/>
    <w:rsid w:val="00702E47"/>
    <w:rsid w:val="00715421"/>
    <w:rsid w:val="007216FC"/>
    <w:rsid w:val="00730819"/>
    <w:rsid w:val="0074391B"/>
    <w:rsid w:val="00747AE5"/>
    <w:rsid w:val="007751BE"/>
    <w:rsid w:val="00780A30"/>
    <w:rsid w:val="00790225"/>
    <w:rsid w:val="0079156F"/>
    <w:rsid w:val="007950CA"/>
    <w:rsid w:val="007B2A73"/>
    <w:rsid w:val="007B770D"/>
    <w:rsid w:val="007C25AF"/>
    <w:rsid w:val="007C332A"/>
    <w:rsid w:val="007D1405"/>
    <w:rsid w:val="007D4E0C"/>
    <w:rsid w:val="007E095F"/>
    <w:rsid w:val="007E4368"/>
    <w:rsid w:val="00802E9F"/>
    <w:rsid w:val="008150CE"/>
    <w:rsid w:val="00846638"/>
    <w:rsid w:val="00847ADE"/>
    <w:rsid w:val="0085020F"/>
    <w:rsid w:val="00852149"/>
    <w:rsid w:val="0085497A"/>
    <w:rsid w:val="00864896"/>
    <w:rsid w:val="00865910"/>
    <w:rsid w:val="00883561"/>
    <w:rsid w:val="008A318A"/>
    <w:rsid w:val="008B68BC"/>
    <w:rsid w:val="008D620A"/>
    <w:rsid w:val="008E03AF"/>
    <w:rsid w:val="008E11DA"/>
    <w:rsid w:val="008E5A02"/>
    <w:rsid w:val="008F1913"/>
    <w:rsid w:val="008F4791"/>
    <w:rsid w:val="008F7B70"/>
    <w:rsid w:val="00907DE9"/>
    <w:rsid w:val="0092762A"/>
    <w:rsid w:val="00935EF6"/>
    <w:rsid w:val="00944E93"/>
    <w:rsid w:val="00946E6E"/>
    <w:rsid w:val="00961E62"/>
    <w:rsid w:val="00970078"/>
    <w:rsid w:val="00974252"/>
    <w:rsid w:val="00983755"/>
    <w:rsid w:val="0098542F"/>
    <w:rsid w:val="009913F8"/>
    <w:rsid w:val="00A15E01"/>
    <w:rsid w:val="00A2768C"/>
    <w:rsid w:val="00A27A75"/>
    <w:rsid w:val="00A52EED"/>
    <w:rsid w:val="00A56673"/>
    <w:rsid w:val="00A647C0"/>
    <w:rsid w:val="00A812CD"/>
    <w:rsid w:val="00A84032"/>
    <w:rsid w:val="00A84CC4"/>
    <w:rsid w:val="00A92045"/>
    <w:rsid w:val="00A9410D"/>
    <w:rsid w:val="00AC42D2"/>
    <w:rsid w:val="00AF626C"/>
    <w:rsid w:val="00B141F6"/>
    <w:rsid w:val="00B233FC"/>
    <w:rsid w:val="00B34268"/>
    <w:rsid w:val="00B414AB"/>
    <w:rsid w:val="00B555F1"/>
    <w:rsid w:val="00B5787C"/>
    <w:rsid w:val="00B71F85"/>
    <w:rsid w:val="00B72BF0"/>
    <w:rsid w:val="00B74337"/>
    <w:rsid w:val="00B837A5"/>
    <w:rsid w:val="00B8661F"/>
    <w:rsid w:val="00BA0E00"/>
    <w:rsid w:val="00BA6909"/>
    <w:rsid w:val="00BB7D8E"/>
    <w:rsid w:val="00BC2AA0"/>
    <w:rsid w:val="00BE1188"/>
    <w:rsid w:val="00BE413A"/>
    <w:rsid w:val="00C00657"/>
    <w:rsid w:val="00C053D7"/>
    <w:rsid w:val="00C23C3D"/>
    <w:rsid w:val="00C36E9C"/>
    <w:rsid w:val="00C402C6"/>
    <w:rsid w:val="00C41928"/>
    <w:rsid w:val="00C47BF9"/>
    <w:rsid w:val="00C8380E"/>
    <w:rsid w:val="00C84A9B"/>
    <w:rsid w:val="00CA16CE"/>
    <w:rsid w:val="00CB266D"/>
    <w:rsid w:val="00CB3D11"/>
    <w:rsid w:val="00CC1EEA"/>
    <w:rsid w:val="00CC530A"/>
    <w:rsid w:val="00CF2864"/>
    <w:rsid w:val="00CF48A2"/>
    <w:rsid w:val="00D27D48"/>
    <w:rsid w:val="00D339C7"/>
    <w:rsid w:val="00D52131"/>
    <w:rsid w:val="00D52174"/>
    <w:rsid w:val="00D65DDC"/>
    <w:rsid w:val="00D67468"/>
    <w:rsid w:val="00D739CA"/>
    <w:rsid w:val="00D82261"/>
    <w:rsid w:val="00D8378D"/>
    <w:rsid w:val="00D97DFF"/>
    <w:rsid w:val="00D97E9A"/>
    <w:rsid w:val="00DA0242"/>
    <w:rsid w:val="00DA76FE"/>
    <w:rsid w:val="00DC3876"/>
    <w:rsid w:val="00DF7781"/>
    <w:rsid w:val="00E105E6"/>
    <w:rsid w:val="00E37522"/>
    <w:rsid w:val="00E50F9F"/>
    <w:rsid w:val="00E65846"/>
    <w:rsid w:val="00E8270E"/>
    <w:rsid w:val="00E92DE8"/>
    <w:rsid w:val="00ED3662"/>
    <w:rsid w:val="00EE6B33"/>
    <w:rsid w:val="00EF443D"/>
    <w:rsid w:val="00F0265C"/>
    <w:rsid w:val="00F1074D"/>
    <w:rsid w:val="00F30065"/>
    <w:rsid w:val="00F46AB0"/>
    <w:rsid w:val="00F5287C"/>
    <w:rsid w:val="00F52A12"/>
    <w:rsid w:val="00F65ABA"/>
    <w:rsid w:val="00F66253"/>
    <w:rsid w:val="00F82283"/>
    <w:rsid w:val="00FB29CA"/>
    <w:rsid w:val="00FB6304"/>
    <w:rsid w:val="00FB7678"/>
    <w:rsid w:val="00FC57A5"/>
    <w:rsid w:val="00FC6664"/>
    <w:rsid w:val="00FD2A0E"/>
    <w:rsid w:val="00FD7CB2"/>
    <w:rsid w:val="00FF059C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  <w15:chartTrackingRefBased/>
  <w15:docId w15:val="{0BD9A173-D3C6-4B36-948A-CAC98D90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10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2D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  <w:style w:type="character" w:customStyle="1" w:styleId="Bodytext2">
    <w:name w:val="Body text (2)_"/>
    <w:basedOn w:val="Zadanifontodlomka"/>
    <w:link w:val="Bodytext20"/>
    <w:rsid w:val="00A8403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84032"/>
    <w:pPr>
      <w:widowControl w:val="0"/>
      <w:shd w:val="clear" w:color="auto" w:fill="FFFFFF"/>
      <w:overflowPunct/>
      <w:autoSpaceDE/>
      <w:autoSpaceDN/>
      <w:adjustRightInd/>
      <w:spacing w:after="0" w:line="230" w:lineRule="exact"/>
      <w:ind w:hanging="240"/>
      <w:jc w:val="left"/>
      <w:textAlignment w:val="auto"/>
    </w:pPr>
    <w:rPr>
      <w:sz w:val="18"/>
      <w:szCs w:val="18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2DE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Barišić</dc:creator>
  <cp:keywords/>
  <dc:description/>
  <cp:lastModifiedBy>Mirjana Raguž</cp:lastModifiedBy>
  <cp:revision>18</cp:revision>
  <cp:lastPrinted>2025-03-24T10:46:00Z</cp:lastPrinted>
  <dcterms:created xsi:type="dcterms:W3CDTF">2025-12-11T12:38:00Z</dcterms:created>
  <dcterms:modified xsi:type="dcterms:W3CDTF">2025-12-12T08:52:00Z</dcterms:modified>
</cp:coreProperties>
</file>